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3928E">
      <w:pPr>
        <w:jc w:val="center"/>
        <w:rPr>
          <w:rFonts w:hint="eastAsia" w:ascii="方正小标宋简体" w:hAnsi="方正小标宋简体" w:eastAsia="方正小标宋简体" w:cs="方正小标宋简体"/>
          <w:snapToGrid w:val="0"/>
          <w:color w:val="000000"/>
          <w:kern w:val="0"/>
          <w:sz w:val="36"/>
          <w:szCs w:val="36"/>
          <w:lang w:eastAsia="zh-CN"/>
        </w:rPr>
      </w:pPr>
      <w:r>
        <w:rPr>
          <w:rFonts w:hint="eastAsia" w:ascii="方正小标宋简体" w:hAnsi="方正小标宋简体" w:eastAsia="方正小标宋简体" w:cs="方正小标宋简体"/>
          <w:snapToGrid w:val="0"/>
          <w:color w:val="000000"/>
          <w:kern w:val="0"/>
          <w:sz w:val="36"/>
          <w:szCs w:val="36"/>
          <w:lang w:eastAsia="zh-CN"/>
        </w:rPr>
        <w:t>《麦后大豆免耕精播种植技术规程(兵团范围)》</w:t>
      </w:r>
    </w:p>
    <w:p w14:paraId="144F3B20">
      <w:pPr>
        <w:jc w:val="center"/>
        <w:rPr>
          <w:rFonts w:ascii="仿宋_GB2312" w:hAnsi="黑体" w:eastAsia="仿宋_GB2312" w:cs="方正小标宋简体"/>
          <w:sz w:val="44"/>
          <w:szCs w:val="44"/>
          <w:lang w:eastAsia="zh-CN"/>
        </w:rPr>
      </w:pPr>
      <w:r>
        <w:rPr>
          <w:rFonts w:hint="eastAsia" w:ascii="方正小标宋简体" w:hAnsi="方正小标宋简体" w:eastAsia="方正小标宋简体" w:cs="方正小标宋简体"/>
          <w:sz w:val="36"/>
          <w:szCs w:val="36"/>
          <w:lang w:eastAsia="zh-CN"/>
        </w:rPr>
        <w:t>地方标准编制说明</w:t>
      </w:r>
    </w:p>
    <w:p w14:paraId="02CDE5C4">
      <w:pPr>
        <w:widowControl/>
        <w:kinsoku w:val="0"/>
        <w:autoSpaceDE w:val="0"/>
        <w:autoSpaceDN w:val="0"/>
        <w:adjustRightInd w:val="0"/>
        <w:snapToGrid w:val="0"/>
        <w:jc w:val="center"/>
        <w:textAlignment w:val="baseline"/>
        <w:rPr>
          <w:rFonts w:hint="eastAsia" w:ascii="仿宋_GB2312" w:hAnsi="黑体" w:eastAsia="仿宋_GB2312" w:cs="方正小标宋简体"/>
          <w:snapToGrid w:val="0"/>
          <w:color w:val="000000"/>
          <w:kern w:val="0"/>
          <w:sz w:val="44"/>
          <w:szCs w:val="44"/>
          <w:lang w:eastAsia="zh-CN"/>
        </w:rPr>
      </w:pPr>
    </w:p>
    <w:p w14:paraId="5CF081A6">
      <w:pPr>
        <w:ind w:firstLine="640" w:firstLineChars="200"/>
        <w:rPr>
          <w:rFonts w:hint="eastAsia" w:ascii="黑体" w:hAnsi="黑体" w:eastAsia="黑体" w:cs="黑体"/>
          <w:b/>
          <w:bCs/>
          <w:sz w:val="32"/>
          <w:szCs w:val="32"/>
        </w:rPr>
      </w:pPr>
      <w:r>
        <w:rPr>
          <w:rFonts w:hint="eastAsia" w:ascii="黑体" w:hAnsi="黑体" w:eastAsia="黑体" w:cs="黑体"/>
          <w:b w:val="0"/>
          <w:bCs w:val="0"/>
          <w:sz w:val="32"/>
          <w:szCs w:val="32"/>
        </w:rPr>
        <w:t>一、工作简况</w:t>
      </w:r>
    </w:p>
    <w:p w14:paraId="0DF35886">
      <w:p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rPr>
        <w:t>1.任务来源</w:t>
      </w:r>
    </w:p>
    <w:p w14:paraId="042B7CBB">
      <w:pPr>
        <w:spacing w:line="560" w:lineRule="exact"/>
        <w:ind w:firstLine="640" w:firstLineChars="200"/>
        <w:rPr>
          <w:rFonts w:ascii="Times New Roman" w:hAnsi="Times New Roman" w:eastAsia="仿宋" w:cs="Times New Roman"/>
          <w:bCs/>
          <w:sz w:val="32"/>
          <w:szCs w:val="32"/>
          <w:lang w:eastAsia="zh-CN"/>
        </w:rPr>
      </w:pPr>
      <w:r>
        <w:rPr>
          <w:rFonts w:ascii="Times New Roman" w:hAnsi="Times New Roman" w:eastAsia="仿宋" w:cs="Times New Roman"/>
          <w:bCs/>
          <w:sz w:val="32"/>
          <w:szCs w:val="32"/>
          <w:lang w:eastAsia="zh-CN"/>
        </w:rPr>
        <w:t>202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年</w:t>
      </w:r>
      <w:r>
        <w:rPr>
          <w:rFonts w:hint="eastAsia" w:ascii="Times New Roman" w:hAnsi="Times New Roman" w:eastAsia="仿宋" w:cs="Times New Roman"/>
          <w:bCs/>
          <w:sz w:val="32"/>
          <w:szCs w:val="32"/>
          <w:lang w:eastAsia="zh-CN"/>
        </w:rPr>
        <w:t>7</w:t>
      </w:r>
      <w:r>
        <w:rPr>
          <w:rFonts w:ascii="Times New Roman" w:hAnsi="Times New Roman" w:eastAsia="仿宋" w:cs="Times New Roman"/>
          <w:bCs/>
          <w:sz w:val="32"/>
          <w:szCs w:val="32"/>
          <w:lang w:eastAsia="zh-CN"/>
        </w:rPr>
        <w:t>月</w:t>
      </w:r>
      <w:r>
        <w:rPr>
          <w:rFonts w:hint="eastAsia" w:ascii="Times New Roman" w:hAnsi="Times New Roman" w:eastAsia="仿宋" w:cs="Times New Roman"/>
          <w:bCs/>
          <w:sz w:val="32"/>
          <w:szCs w:val="32"/>
          <w:lang w:eastAsia="zh-CN"/>
        </w:rPr>
        <w:t>20</w:t>
      </w:r>
      <w:r>
        <w:rPr>
          <w:rFonts w:ascii="Times New Roman" w:hAnsi="Times New Roman" w:eastAsia="仿宋" w:cs="Times New Roman"/>
          <w:bCs/>
          <w:sz w:val="32"/>
          <w:szCs w:val="32"/>
          <w:lang w:eastAsia="zh-CN"/>
        </w:rPr>
        <w:t>日，由</w:t>
      </w:r>
      <w:r>
        <w:rPr>
          <w:rFonts w:hint="eastAsia" w:ascii="Times New Roman" w:hAnsi="Times New Roman" w:eastAsia="仿宋" w:cs="Times New Roman"/>
          <w:bCs/>
          <w:sz w:val="32"/>
          <w:szCs w:val="32"/>
          <w:lang w:eastAsia="zh-CN"/>
        </w:rPr>
        <w:t>新疆农垦科学院</w:t>
      </w:r>
      <w:r>
        <w:rPr>
          <w:rFonts w:ascii="Times New Roman" w:hAnsi="Times New Roman" w:eastAsia="仿宋" w:cs="Times New Roman"/>
          <w:bCs/>
          <w:sz w:val="32"/>
          <w:szCs w:val="32"/>
          <w:lang w:eastAsia="zh-CN"/>
        </w:rPr>
        <w:t>申请地方标准的立项，根据新疆维吾尔自治区市场监督管理局下达的202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年度地方标准制修订项目计划，批准《</w:t>
      </w:r>
      <w:r>
        <w:rPr>
          <w:rFonts w:hint="eastAsia" w:ascii="Times New Roman" w:hAnsi="Times New Roman" w:eastAsia="仿宋" w:cs="Times New Roman"/>
          <w:bCs/>
          <w:sz w:val="32"/>
          <w:szCs w:val="32"/>
          <w:lang w:eastAsia="zh-CN"/>
        </w:rPr>
        <w:t>麦后大豆免耕精播种植技术规程（兵团范围）</w:t>
      </w:r>
      <w:r>
        <w:rPr>
          <w:rFonts w:ascii="Times New Roman" w:hAnsi="Times New Roman" w:eastAsia="仿宋" w:cs="Times New Roman"/>
          <w:bCs/>
          <w:sz w:val="32"/>
          <w:szCs w:val="32"/>
          <w:lang w:eastAsia="zh-CN"/>
        </w:rPr>
        <w:t>》（立项编号：XJ2</w:t>
      </w:r>
      <w:r>
        <w:rPr>
          <w:rFonts w:hint="eastAsia" w:ascii="Times New Roman" w:hAnsi="Times New Roman" w:eastAsia="仿宋" w:cs="Times New Roman"/>
          <w:bCs/>
          <w:sz w:val="32"/>
          <w:szCs w:val="32"/>
          <w:lang w:eastAsia="zh-CN"/>
        </w:rPr>
        <w:t>3</w:t>
      </w:r>
      <w:r>
        <w:rPr>
          <w:rFonts w:ascii="Times New Roman" w:hAnsi="Times New Roman" w:eastAsia="仿宋" w:cs="Times New Roman"/>
          <w:bCs/>
          <w:sz w:val="32"/>
          <w:szCs w:val="32"/>
          <w:lang w:eastAsia="zh-CN"/>
        </w:rPr>
        <w:t>-</w:t>
      </w:r>
      <w:r>
        <w:rPr>
          <w:rFonts w:hint="eastAsia" w:ascii="Times New Roman" w:hAnsi="Times New Roman" w:eastAsia="仿宋" w:cs="Times New Roman"/>
          <w:bCs/>
          <w:sz w:val="32"/>
          <w:szCs w:val="32"/>
          <w:lang w:eastAsia="zh-CN"/>
        </w:rPr>
        <w:t>1</w:t>
      </w:r>
      <w:r>
        <w:rPr>
          <w:rFonts w:hint="eastAsia" w:ascii="Times New Roman" w:hAnsi="Times New Roman" w:eastAsia="仿宋" w:cs="Times New Roman"/>
          <w:bCs/>
          <w:sz w:val="32"/>
          <w:szCs w:val="32"/>
          <w:lang w:val="en-US" w:eastAsia="zh-CN"/>
        </w:rPr>
        <w:t>4</w:t>
      </w:r>
      <w:r>
        <w:rPr>
          <w:rFonts w:hint="eastAsia" w:eastAsia="仿宋" w:cs="Times New Roman"/>
          <w:bCs/>
          <w:sz w:val="32"/>
          <w:szCs w:val="32"/>
          <w:lang w:val="en-US" w:eastAsia="zh-CN"/>
        </w:rPr>
        <w:t>6</w:t>
      </w:r>
      <w:r>
        <w:rPr>
          <w:rFonts w:ascii="Times New Roman" w:hAnsi="Times New Roman" w:eastAsia="仿宋" w:cs="Times New Roman"/>
          <w:bCs/>
          <w:sz w:val="32"/>
          <w:szCs w:val="32"/>
          <w:lang w:eastAsia="zh-CN"/>
        </w:rPr>
        <w:t>）地方标准的制定。</w:t>
      </w:r>
    </w:p>
    <w:p w14:paraId="596459E9">
      <w:p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sz w:val="32"/>
          <w:szCs w:val="32"/>
          <w:lang w:val="en-US" w:eastAsia="zh-CN"/>
        </w:rPr>
        <w:t>2.</w:t>
      </w:r>
      <w:r>
        <w:rPr>
          <w:rFonts w:hint="eastAsia" w:ascii="楷体_GB2312" w:hAnsi="Times New Roman" w:eastAsia="楷体_GB2312" w:cs="Times New Roman"/>
          <w:sz w:val="32"/>
          <w:szCs w:val="32"/>
        </w:rPr>
        <w:t>起草单位</w:t>
      </w:r>
    </w:p>
    <w:p w14:paraId="52FD9BEF">
      <w:pPr>
        <w:numPr>
          <w:ilvl w:val="0"/>
          <w:numId w:val="0"/>
        </w:numPr>
        <w:ind w:firstLine="640" w:firstLineChars="200"/>
        <w:rPr>
          <w:rFonts w:hint="default" w:ascii="仿宋_GB2312" w:eastAsia="仿宋_GB2312"/>
          <w:sz w:val="32"/>
          <w:szCs w:val="32"/>
          <w:lang w:val="en-US" w:eastAsia="zh-CN"/>
        </w:rPr>
      </w:pPr>
      <w:r>
        <w:rPr>
          <w:rFonts w:hint="eastAsia" w:ascii="仿宋_GB2312" w:eastAsia="仿宋_GB2312"/>
          <w:sz w:val="32"/>
          <w:szCs w:val="32"/>
        </w:rPr>
        <w:t>起草单位：</w:t>
      </w:r>
      <w:r>
        <w:rPr>
          <w:rFonts w:hint="eastAsia" w:ascii="仿宋_GB2312" w:eastAsia="仿宋_GB2312"/>
          <w:sz w:val="32"/>
          <w:szCs w:val="32"/>
          <w:lang w:val="en-US" w:eastAsia="zh-CN"/>
        </w:rPr>
        <w:t>新疆农垦科学院</w:t>
      </w:r>
    </w:p>
    <w:p w14:paraId="5BDF96B0">
      <w:pPr>
        <w:ind w:firstLine="640" w:firstLineChars="200"/>
        <w:rPr>
          <w:rFonts w:hint="eastAsia" w:ascii="楷体_GB2312" w:hAnsi="Times New Roman" w:eastAsia="楷体_GB2312" w:cs="Times New Roman"/>
          <w:sz w:val="32"/>
          <w:szCs w:val="32"/>
          <w:lang w:val="en-US" w:eastAsia="zh-CN"/>
        </w:rPr>
      </w:pPr>
      <w:r>
        <w:rPr>
          <w:rFonts w:hint="eastAsia" w:ascii="楷体_GB2312" w:hAnsi="Times New Roman" w:eastAsia="楷体_GB2312" w:cs="Times New Roman"/>
          <w:sz w:val="32"/>
          <w:szCs w:val="32"/>
          <w:lang w:val="en-US" w:eastAsia="zh-CN"/>
        </w:rPr>
        <w:t>3.主要起草人</w:t>
      </w:r>
    </w:p>
    <w:p w14:paraId="0750632C">
      <w:pPr>
        <w:spacing w:line="500" w:lineRule="exact"/>
        <w:ind w:firstLine="640"/>
        <w:jc w:val="center"/>
        <w:rPr>
          <w:rFonts w:ascii="Times New Roman" w:hAnsi="Times New Roman" w:eastAsia="黑体" w:cs="Times New Roman"/>
          <w:sz w:val="24"/>
          <w:szCs w:val="24"/>
          <w:lang w:eastAsia="zh-CN"/>
        </w:rPr>
      </w:pPr>
      <w:r>
        <w:rPr>
          <w:rFonts w:hint="eastAsia" w:ascii="仿宋_GB2312" w:hAnsi="Times New Roman" w:eastAsia="仿宋_GB2312" w:cs="Times New Roman"/>
          <w:sz w:val="32"/>
          <w:szCs w:val="32"/>
          <w:lang w:eastAsia="zh-CN"/>
        </w:rPr>
        <w:t>表1</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lang w:eastAsia="zh-CN"/>
        </w:rPr>
        <w:t>主要起草人员信息及任务分工</w:t>
      </w:r>
    </w:p>
    <w:tbl>
      <w:tblPr>
        <w:tblStyle w:val="6"/>
        <w:tblW w:w="8700"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711"/>
        <w:gridCol w:w="1733"/>
        <w:gridCol w:w="2267"/>
        <w:gridCol w:w="2900"/>
      </w:tblGrid>
      <w:tr w14:paraId="4FF0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89" w:type="dxa"/>
            <w:noWrap w:val="0"/>
            <w:vAlign w:val="center"/>
          </w:tcPr>
          <w:p w14:paraId="3D6E9CF4">
            <w:pPr>
              <w:jc w:val="center"/>
              <w:rPr>
                <w:rFonts w:hint="eastAsia" w:ascii="仿宋_GB2312" w:eastAsia="仿宋_GB2312"/>
                <w:sz w:val="24"/>
                <w:szCs w:val="24"/>
              </w:rPr>
            </w:pPr>
            <w:r>
              <w:rPr>
                <w:rFonts w:hint="eastAsia" w:ascii="仿宋_GB2312" w:eastAsia="仿宋_GB2312"/>
                <w:sz w:val="24"/>
                <w:szCs w:val="24"/>
              </w:rPr>
              <w:t>姓 名</w:t>
            </w:r>
          </w:p>
        </w:tc>
        <w:tc>
          <w:tcPr>
            <w:tcW w:w="711" w:type="dxa"/>
            <w:noWrap w:val="0"/>
            <w:vAlign w:val="center"/>
          </w:tcPr>
          <w:p w14:paraId="054D21D7">
            <w:pPr>
              <w:jc w:val="center"/>
              <w:rPr>
                <w:rFonts w:hint="eastAsia" w:ascii="仿宋_GB2312" w:eastAsia="仿宋_GB2312"/>
                <w:sz w:val="24"/>
                <w:szCs w:val="24"/>
              </w:rPr>
            </w:pPr>
            <w:r>
              <w:rPr>
                <w:rFonts w:hint="eastAsia" w:ascii="仿宋_GB2312" w:eastAsia="仿宋_GB2312"/>
                <w:sz w:val="24"/>
                <w:szCs w:val="24"/>
              </w:rPr>
              <w:t>性别</w:t>
            </w:r>
          </w:p>
        </w:tc>
        <w:tc>
          <w:tcPr>
            <w:tcW w:w="1733" w:type="dxa"/>
            <w:noWrap w:val="0"/>
            <w:vAlign w:val="center"/>
          </w:tcPr>
          <w:p w14:paraId="030D7A25">
            <w:pPr>
              <w:jc w:val="center"/>
              <w:rPr>
                <w:rFonts w:hint="eastAsia" w:ascii="仿宋_GB2312" w:eastAsia="仿宋_GB2312"/>
                <w:sz w:val="24"/>
                <w:szCs w:val="24"/>
              </w:rPr>
            </w:pPr>
            <w:r>
              <w:rPr>
                <w:rFonts w:hint="eastAsia" w:ascii="仿宋_GB2312" w:eastAsia="仿宋_GB2312"/>
                <w:sz w:val="24"/>
                <w:szCs w:val="24"/>
              </w:rPr>
              <w:t>职务/职称</w:t>
            </w:r>
          </w:p>
        </w:tc>
        <w:tc>
          <w:tcPr>
            <w:tcW w:w="2267" w:type="dxa"/>
            <w:noWrap w:val="0"/>
            <w:vAlign w:val="center"/>
          </w:tcPr>
          <w:p w14:paraId="43C106B4">
            <w:pPr>
              <w:jc w:val="center"/>
              <w:rPr>
                <w:rFonts w:hint="eastAsia" w:ascii="仿宋_GB2312" w:eastAsia="仿宋_GB2312"/>
                <w:sz w:val="24"/>
                <w:szCs w:val="24"/>
              </w:rPr>
            </w:pPr>
            <w:r>
              <w:rPr>
                <w:rFonts w:hint="eastAsia" w:ascii="仿宋_GB2312" w:eastAsia="仿宋_GB2312"/>
                <w:sz w:val="24"/>
                <w:szCs w:val="24"/>
              </w:rPr>
              <w:t>工作单位</w:t>
            </w:r>
          </w:p>
        </w:tc>
        <w:tc>
          <w:tcPr>
            <w:tcW w:w="2900" w:type="dxa"/>
            <w:noWrap w:val="0"/>
            <w:vAlign w:val="center"/>
          </w:tcPr>
          <w:p w14:paraId="0E5070B1">
            <w:pPr>
              <w:jc w:val="center"/>
              <w:rPr>
                <w:rFonts w:hint="eastAsia" w:ascii="仿宋_GB2312" w:eastAsia="仿宋_GB2312"/>
                <w:sz w:val="24"/>
                <w:szCs w:val="24"/>
              </w:rPr>
            </w:pPr>
            <w:r>
              <w:rPr>
                <w:rFonts w:hint="eastAsia" w:ascii="仿宋_GB2312" w:eastAsia="仿宋_GB2312"/>
                <w:sz w:val="24"/>
                <w:szCs w:val="24"/>
              </w:rPr>
              <w:t>任务分工</w:t>
            </w:r>
          </w:p>
        </w:tc>
      </w:tr>
      <w:tr w14:paraId="76D3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6D14CB2">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战 勇</w:t>
            </w:r>
          </w:p>
        </w:tc>
        <w:tc>
          <w:tcPr>
            <w:tcW w:w="711" w:type="dxa"/>
            <w:noWrap w:val="0"/>
            <w:vAlign w:val="center"/>
          </w:tcPr>
          <w:p w14:paraId="54C619A0">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583F0D0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研究员</w:t>
            </w:r>
          </w:p>
        </w:tc>
        <w:tc>
          <w:tcPr>
            <w:tcW w:w="2267" w:type="dxa"/>
            <w:noWrap w:val="0"/>
            <w:vAlign w:val="center"/>
          </w:tcPr>
          <w:p w14:paraId="43B53212">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17EFB6D1">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主持制定标准</w:t>
            </w:r>
            <w:r>
              <w:rPr>
                <w:rFonts w:hint="eastAsia" w:ascii="方正仿宋_GB2312" w:hAnsi="方正仿宋_GB2312" w:eastAsia="方正仿宋_GB2312" w:cs="方正仿宋_GB2312"/>
                <w:sz w:val="24"/>
                <w:szCs w:val="24"/>
                <w:lang w:val="en-US" w:eastAsia="zh-CN"/>
              </w:rPr>
              <w:t>与</w:t>
            </w:r>
            <w:r>
              <w:rPr>
                <w:rFonts w:hint="eastAsia" w:ascii="方正仿宋_GB2312" w:hAnsi="方正仿宋_GB2312" w:eastAsia="方正仿宋_GB2312" w:cs="方正仿宋_GB2312"/>
                <w:sz w:val="24"/>
                <w:szCs w:val="24"/>
              </w:rPr>
              <w:t>起草标准</w:t>
            </w:r>
          </w:p>
        </w:tc>
      </w:tr>
      <w:tr w14:paraId="0365D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02DE1CF7">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张恒斌</w:t>
            </w:r>
          </w:p>
        </w:tc>
        <w:tc>
          <w:tcPr>
            <w:tcW w:w="711" w:type="dxa"/>
            <w:noWrap w:val="0"/>
            <w:vAlign w:val="center"/>
          </w:tcPr>
          <w:p w14:paraId="4B18E06C">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3F47C479">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副研究员</w:t>
            </w:r>
          </w:p>
        </w:tc>
        <w:tc>
          <w:tcPr>
            <w:tcW w:w="2267" w:type="dxa"/>
            <w:noWrap w:val="0"/>
            <w:vAlign w:val="center"/>
          </w:tcPr>
          <w:p w14:paraId="2C2A6C3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537D67ED">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起草标准、组织验证</w:t>
            </w:r>
          </w:p>
        </w:tc>
      </w:tr>
      <w:tr w14:paraId="43837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23075B51">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赵 靓</w:t>
            </w:r>
          </w:p>
        </w:tc>
        <w:tc>
          <w:tcPr>
            <w:tcW w:w="711" w:type="dxa"/>
            <w:noWrap w:val="0"/>
            <w:vAlign w:val="center"/>
          </w:tcPr>
          <w:p w14:paraId="5DF232F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女</w:t>
            </w:r>
          </w:p>
        </w:tc>
        <w:tc>
          <w:tcPr>
            <w:tcW w:w="1733" w:type="dxa"/>
            <w:noWrap w:val="0"/>
            <w:vAlign w:val="center"/>
          </w:tcPr>
          <w:p w14:paraId="2FADCFFF">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rPr>
            </w:pPr>
            <w:r>
              <w:rPr>
                <w:rFonts w:hint="eastAsia" w:ascii="方正仿宋_GB2312" w:hAnsi="方正仿宋_GB2312" w:eastAsia="方正仿宋_GB2312" w:cs="方正仿宋_GB2312"/>
                <w:color w:val="000000"/>
                <w:spacing w:val="19"/>
                <w:kern w:val="0"/>
                <w:sz w:val="24"/>
                <w:szCs w:val="24"/>
                <w:lang w:val="en-US" w:eastAsia="zh-CN"/>
              </w:rPr>
              <w:t>副</w:t>
            </w:r>
            <w:r>
              <w:rPr>
                <w:rFonts w:hint="eastAsia" w:ascii="方正仿宋_GB2312" w:hAnsi="方正仿宋_GB2312" w:eastAsia="方正仿宋_GB2312" w:cs="方正仿宋_GB2312"/>
                <w:color w:val="000000"/>
                <w:spacing w:val="19"/>
                <w:kern w:val="0"/>
                <w:sz w:val="24"/>
                <w:szCs w:val="24"/>
              </w:rPr>
              <w:t>研究员</w:t>
            </w:r>
          </w:p>
        </w:tc>
        <w:tc>
          <w:tcPr>
            <w:tcW w:w="2267" w:type="dxa"/>
            <w:noWrap w:val="0"/>
            <w:vAlign w:val="center"/>
          </w:tcPr>
          <w:p w14:paraId="0CF0C41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170F3F1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69D7B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7F3D7649">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曾 凯</w:t>
            </w:r>
          </w:p>
        </w:tc>
        <w:tc>
          <w:tcPr>
            <w:tcW w:w="711" w:type="dxa"/>
            <w:noWrap w:val="0"/>
            <w:vAlign w:val="center"/>
          </w:tcPr>
          <w:p w14:paraId="5E3529B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11355E4B">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副研究员</w:t>
            </w:r>
          </w:p>
        </w:tc>
        <w:tc>
          <w:tcPr>
            <w:tcW w:w="2267" w:type="dxa"/>
            <w:noWrap w:val="0"/>
            <w:vAlign w:val="center"/>
          </w:tcPr>
          <w:p w14:paraId="6B9C152F">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69D1734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5A663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31F00AD7">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张占琴</w:t>
            </w:r>
          </w:p>
        </w:tc>
        <w:tc>
          <w:tcPr>
            <w:tcW w:w="711" w:type="dxa"/>
            <w:noWrap w:val="0"/>
            <w:vAlign w:val="top"/>
          </w:tcPr>
          <w:p w14:paraId="4C2662BB">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女</w:t>
            </w:r>
          </w:p>
        </w:tc>
        <w:tc>
          <w:tcPr>
            <w:tcW w:w="1733" w:type="dxa"/>
            <w:noWrap w:val="0"/>
            <w:vAlign w:val="top"/>
          </w:tcPr>
          <w:p w14:paraId="45D97CB4">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研究员</w:t>
            </w:r>
          </w:p>
        </w:tc>
        <w:tc>
          <w:tcPr>
            <w:tcW w:w="2267" w:type="dxa"/>
            <w:noWrap w:val="0"/>
            <w:vAlign w:val="center"/>
          </w:tcPr>
          <w:p w14:paraId="51F6686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40108E7F">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eastAsia="zh-CN"/>
              </w:rPr>
              <w:t>资料收集、田间调查、验证比对</w:t>
            </w:r>
          </w:p>
        </w:tc>
      </w:tr>
      <w:tr w14:paraId="50D35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7FF0AC0C">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何宗铃</w:t>
            </w:r>
          </w:p>
        </w:tc>
        <w:tc>
          <w:tcPr>
            <w:tcW w:w="711" w:type="dxa"/>
            <w:noWrap w:val="0"/>
            <w:vAlign w:val="top"/>
          </w:tcPr>
          <w:p w14:paraId="2EC3D73E">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男</w:t>
            </w:r>
          </w:p>
        </w:tc>
        <w:tc>
          <w:tcPr>
            <w:tcW w:w="1733" w:type="dxa"/>
            <w:noWrap w:val="0"/>
            <w:vAlign w:val="top"/>
          </w:tcPr>
          <w:p w14:paraId="480CA038">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助理研究员</w:t>
            </w:r>
          </w:p>
        </w:tc>
        <w:tc>
          <w:tcPr>
            <w:tcW w:w="2267" w:type="dxa"/>
            <w:noWrap w:val="0"/>
            <w:vAlign w:val="center"/>
          </w:tcPr>
          <w:p w14:paraId="774B3FB5">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color w:val="000000"/>
                <w:spacing w:val="19"/>
                <w:kern w:val="0"/>
                <w:sz w:val="24"/>
                <w:szCs w:val="24"/>
              </w:rPr>
            </w:pPr>
            <w:r>
              <w:rPr>
                <w:rFonts w:hint="eastAsia" w:ascii="方正仿宋_GB2312" w:hAnsi="方正仿宋_GB2312" w:eastAsia="方正仿宋_GB2312" w:cs="方正仿宋_GB2312"/>
                <w:color w:val="000000"/>
                <w:spacing w:val="19"/>
                <w:kern w:val="0"/>
                <w:sz w:val="24"/>
                <w:szCs w:val="24"/>
                <w:lang w:val="en-US" w:eastAsia="zh-CN"/>
              </w:rPr>
              <w:t>新疆生产建设兵团第一师农业科学研究所</w:t>
            </w:r>
          </w:p>
        </w:tc>
        <w:tc>
          <w:tcPr>
            <w:tcW w:w="2900" w:type="dxa"/>
            <w:noWrap w:val="0"/>
            <w:vAlign w:val="center"/>
          </w:tcPr>
          <w:p w14:paraId="3792689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一师复播大豆资料收集与整理</w:t>
            </w:r>
          </w:p>
        </w:tc>
      </w:tr>
      <w:tr w14:paraId="0E32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9DA6A7A">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张祥池</w:t>
            </w:r>
          </w:p>
        </w:tc>
        <w:tc>
          <w:tcPr>
            <w:tcW w:w="711" w:type="dxa"/>
            <w:noWrap w:val="0"/>
            <w:vAlign w:val="center"/>
          </w:tcPr>
          <w:p w14:paraId="7A4CA79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090B8FB2">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助理研究员</w:t>
            </w:r>
          </w:p>
        </w:tc>
        <w:tc>
          <w:tcPr>
            <w:tcW w:w="2267" w:type="dxa"/>
            <w:noWrap w:val="0"/>
            <w:vAlign w:val="center"/>
          </w:tcPr>
          <w:p w14:paraId="6F10E71B">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50818646">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r w14:paraId="15519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1013A1EF">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苏 鑫</w:t>
            </w:r>
          </w:p>
        </w:tc>
        <w:tc>
          <w:tcPr>
            <w:tcW w:w="711" w:type="dxa"/>
            <w:noWrap w:val="0"/>
            <w:vAlign w:val="center"/>
          </w:tcPr>
          <w:p w14:paraId="7BD2430C">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color w:val="000000"/>
                <w:spacing w:val="19"/>
                <w:kern w:val="0"/>
                <w:sz w:val="24"/>
                <w:szCs w:val="24"/>
                <w:lang w:val="en-US" w:eastAsia="zh-CN"/>
              </w:rPr>
              <w:t>男</w:t>
            </w:r>
          </w:p>
        </w:tc>
        <w:tc>
          <w:tcPr>
            <w:tcW w:w="1733" w:type="dxa"/>
            <w:noWrap w:val="0"/>
            <w:vAlign w:val="center"/>
          </w:tcPr>
          <w:p w14:paraId="2BB7E73A">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研究实习员</w:t>
            </w:r>
          </w:p>
        </w:tc>
        <w:tc>
          <w:tcPr>
            <w:tcW w:w="2267" w:type="dxa"/>
            <w:noWrap w:val="0"/>
            <w:vAlign w:val="center"/>
          </w:tcPr>
          <w:p w14:paraId="736E28E4">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2E74D928">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r w14:paraId="504FE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02F95B6C">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葛 优</w:t>
            </w:r>
          </w:p>
        </w:tc>
        <w:tc>
          <w:tcPr>
            <w:tcW w:w="711" w:type="dxa"/>
            <w:noWrap w:val="0"/>
            <w:vAlign w:val="top"/>
          </w:tcPr>
          <w:p w14:paraId="4BCCA66C">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男</w:t>
            </w:r>
          </w:p>
        </w:tc>
        <w:tc>
          <w:tcPr>
            <w:tcW w:w="1733" w:type="dxa"/>
            <w:noWrap w:val="0"/>
            <w:vAlign w:val="top"/>
          </w:tcPr>
          <w:p w14:paraId="6AE926AD">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助理研究员</w:t>
            </w:r>
          </w:p>
        </w:tc>
        <w:tc>
          <w:tcPr>
            <w:tcW w:w="2267" w:type="dxa"/>
            <w:noWrap w:val="0"/>
            <w:vAlign w:val="center"/>
          </w:tcPr>
          <w:p w14:paraId="7E895A0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rPr>
              <w:t>新疆农垦科学院</w:t>
            </w:r>
          </w:p>
        </w:tc>
        <w:tc>
          <w:tcPr>
            <w:tcW w:w="2900" w:type="dxa"/>
            <w:noWrap w:val="0"/>
            <w:vAlign w:val="center"/>
          </w:tcPr>
          <w:p w14:paraId="05DFBAD7">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资料</w:t>
            </w:r>
            <w:r>
              <w:rPr>
                <w:rFonts w:hint="eastAsia" w:ascii="方正仿宋_GB2312" w:hAnsi="方正仿宋_GB2312" w:eastAsia="方正仿宋_GB2312" w:cs="方正仿宋_GB2312"/>
                <w:color w:val="000000"/>
                <w:spacing w:val="19"/>
                <w:kern w:val="0"/>
                <w:sz w:val="24"/>
                <w:szCs w:val="24"/>
              </w:rPr>
              <w:t>整理与文本校对</w:t>
            </w:r>
          </w:p>
        </w:tc>
      </w:tr>
      <w:tr w14:paraId="0288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noWrap w:val="0"/>
            <w:vAlign w:val="top"/>
          </w:tcPr>
          <w:p w14:paraId="6EAF040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张东鹏</w:t>
            </w:r>
          </w:p>
        </w:tc>
        <w:tc>
          <w:tcPr>
            <w:tcW w:w="711" w:type="dxa"/>
            <w:noWrap w:val="0"/>
            <w:vAlign w:val="top"/>
          </w:tcPr>
          <w:p w14:paraId="3CD5C16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男</w:t>
            </w:r>
          </w:p>
        </w:tc>
        <w:tc>
          <w:tcPr>
            <w:tcW w:w="1733" w:type="dxa"/>
            <w:noWrap w:val="0"/>
            <w:vAlign w:val="top"/>
          </w:tcPr>
          <w:p w14:paraId="6E52BFF0">
            <w:pPr>
              <w:keepNext w:val="0"/>
              <w:keepLines w:val="0"/>
              <w:pageBreakBefore w:val="0"/>
              <w:wordWrap/>
              <w:overflowPunct/>
              <w:topLinePunct w:val="0"/>
              <w:bidi w:val="0"/>
              <w:jc w:val="center"/>
              <w:rPr>
                <w:rFonts w:hint="eastAsia" w:ascii="方正仿宋_GB2312" w:hAnsi="方正仿宋_GB2312" w:eastAsia="方正仿宋_GB2312" w:cs="方正仿宋_GB2312"/>
                <w:sz w:val="24"/>
                <w:szCs w:val="24"/>
                <w:lang w:val="en-US" w:eastAsia="zh-CN"/>
              </w:rPr>
            </w:pPr>
            <w:r>
              <w:rPr>
                <w:rFonts w:hint="eastAsia" w:ascii="方正仿宋_GB2312" w:hAnsi="方正仿宋_GB2312" w:eastAsia="方正仿宋_GB2312" w:cs="方正仿宋_GB2312"/>
                <w:sz w:val="24"/>
                <w:szCs w:val="24"/>
                <w:lang w:val="en-US" w:eastAsia="zh-CN"/>
              </w:rPr>
              <w:t>助理研究员</w:t>
            </w:r>
          </w:p>
        </w:tc>
        <w:tc>
          <w:tcPr>
            <w:tcW w:w="2267" w:type="dxa"/>
            <w:noWrap w:val="0"/>
            <w:vAlign w:val="center"/>
          </w:tcPr>
          <w:p w14:paraId="5F23ABD9">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新疆生产建设兵团第三师农业科学研究所</w:t>
            </w:r>
          </w:p>
        </w:tc>
        <w:tc>
          <w:tcPr>
            <w:tcW w:w="2900" w:type="dxa"/>
            <w:noWrap w:val="0"/>
            <w:vAlign w:val="center"/>
          </w:tcPr>
          <w:p w14:paraId="76AE33C0">
            <w:pPr>
              <w:keepNext w:val="0"/>
              <w:keepLines w:val="0"/>
              <w:pageBreakBefore w:val="0"/>
              <w:widowControl/>
              <w:kinsoku w:val="0"/>
              <w:wordWrap/>
              <w:overflowPunct/>
              <w:topLinePunct w:val="0"/>
              <w:autoSpaceDE w:val="0"/>
              <w:autoSpaceDN w:val="0"/>
              <w:bidi w:val="0"/>
              <w:adjustRightInd w:val="0"/>
              <w:snapToGrid w:val="0"/>
              <w:ind w:left="94" w:leftChars="0"/>
              <w:jc w:val="center"/>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000000"/>
                <w:spacing w:val="19"/>
                <w:kern w:val="0"/>
                <w:sz w:val="24"/>
                <w:szCs w:val="24"/>
                <w:lang w:val="en-US" w:eastAsia="zh-CN"/>
              </w:rPr>
              <w:t>三师复播大豆资料收集与整理</w:t>
            </w:r>
          </w:p>
        </w:tc>
      </w:tr>
    </w:tbl>
    <w:p w14:paraId="6E4B5905">
      <w:pPr>
        <w:numPr>
          <w:ilvl w:val="0"/>
          <w:numId w:val="0"/>
        </w:numPr>
        <w:ind w:firstLine="640" w:firstLineChars="200"/>
        <w:rPr>
          <w:rFonts w:hint="eastAsia" w:ascii="黑体" w:hAnsi="黑体" w:eastAsia="黑体" w:cs="黑体"/>
          <w:b w:val="0"/>
          <w:bCs w:val="0"/>
          <w:sz w:val="32"/>
          <w:szCs w:val="32"/>
        </w:rPr>
      </w:pPr>
      <w:r>
        <w:rPr>
          <w:rFonts w:hint="eastAsia" w:ascii="黑体" w:hAnsi="黑体" w:eastAsia="黑体" w:cs="黑体"/>
          <w:b w:val="0"/>
          <w:bCs w:val="0"/>
          <w:kern w:val="2"/>
          <w:sz w:val="32"/>
          <w:szCs w:val="32"/>
          <w:lang w:val="en-US" w:eastAsia="zh-CN" w:bidi="ar-SA"/>
        </w:rPr>
        <w:t>二、</w:t>
      </w:r>
      <w:r>
        <w:rPr>
          <w:rFonts w:hint="eastAsia" w:ascii="黑体" w:hAnsi="黑体" w:eastAsia="黑体" w:cs="黑体"/>
          <w:b w:val="0"/>
          <w:bCs w:val="0"/>
          <w:sz w:val="32"/>
          <w:szCs w:val="32"/>
        </w:rPr>
        <w:t>制定（修订）标准的必要性和意义</w:t>
      </w:r>
    </w:p>
    <w:p w14:paraId="04612D3B">
      <w:pPr>
        <w:ind w:firstLine="643" w:firstLineChars="200"/>
        <w:rPr>
          <w:rFonts w:hint="eastAsia" w:ascii="仿宋_GB2312" w:eastAsia="仿宋_GB2312" w:cs="Times New Roman"/>
          <w:b w:val="0"/>
          <w:bCs/>
          <w:sz w:val="32"/>
          <w:szCs w:val="32"/>
          <w:lang w:val="en-US" w:eastAsia="zh-CN"/>
        </w:rPr>
      </w:pPr>
      <w:r>
        <w:rPr>
          <w:rFonts w:hint="eastAsia" w:ascii="仿宋_GB2312" w:hAnsi="Times New Roman" w:eastAsia="仿宋_GB2312" w:cs="Times New Roman"/>
          <w:b/>
          <w:bCs w:val="0"/>
          <w:sz w:val="32"/>
          <w:szCs w:val="32"/>
          <w:lang w:eastAsia="zh-CN"/>
        </w:rPr>
        <w:t>国内大豆供需矛盾巨大，新疆大豆生产任务重。</w:t>
      </w:r>
      <w:r>
        <w:rPr>
          <w:rFonts w:hint="eastAsia" w:ascii="仿宋_GB2312" w:hAnsi="Times New Roman" w:eastAsia="仿宋_GB2312" w:cs="Times New Roman"/>
          <w:b w:val="0"/>
          <w:bCs/>
          <w:sz w:val="32"/>
          <w:szCs w:val="32"/>
          <w:lang w:eastAsia="zh-CN"/>
        </w:rPr>
        <w:t>大豆是粮油</w:t>
      </w:r>
      <w:bookmarkStart w:id="0" w:name="_GoBack"/>
      <w:bookmarkEnd w:id="0"/>
      <w:r>
        <w:rPr>
          <w:rFonts w:hint="eastAsia" w:ascii="仿宋_GB2312" w:hAnsi="Times New Roman" w:eastAsia="仿宋_GB2312" w:cs="Times New Roman"/>
          <w:b w:val="0"/>
          <w:bCs/>
          <w:sz w:val="32"/>
          <w:szCs w:val="32"/>
          <w:lang w:eastAsia="zh-CN"/>
        </w:rPr>
        <w:t>兼用的经济作物，也是优质蛋白的主要来源，我国近5年连续大幅刷新大豆进口纪录，对外依存度一直保持在87%以上</w:t>
      </w:r>
      <w:r>
        <w:rPr>
          <w:rFonts w:hint="eastAsia" w:ascii="仿宋_GB2312" w:eastAsia="仿宋_GB2312" w:cs="Times New Roman"/>
          <w:b w:val="0"/>
          <w:bCs/>
          <w:sz w:val="32"/>
          <w:szCs w:val="32"/>
          <w:lang w:eastAsia="zh-CN"/>
        </w:rPr>
        <w:t>，</w:t>
      </w:r>
      <w:r>
        <w:rPr>
          <w:rFonts w:hint="eastAsia" w:ascii="仿宋_GB2312" w:hAnsi="Times New Roman" w:eastAsia="仿宋_GB2312" w:cs="Times New Roman"/>
          <w:b w:val="0"/>
          <w:bCs/>
          <w:sz w:val="32"/>
          <w:szCs w:val="32"/>
          <w:lang w:eastAsia="zh-CN"/>
        </w:rPr>
        <w:t>对我国的粮食安全造成严重威胁。近年国家相继出台了调减玉米、调增大豆、加大补贴等政策，国家粮食发展规划将新疆列为国家粮食战略接替区、后备区，实施大豆和油料产能提升工程</w:t>
      </w:r>
      <w:r>
        <w:rPr>
          <w:rFonts w:hint="eastAsia" w:ascii="仿宋_GB2312" w:eastAsia="仿宋_GB2312" w:cs="Times New Roman"/>
          <w:b w:val="0"/>
          <w:bCs/>
          <w:sz w:val="32"/>
          <w:szCs w:val="32"/>
          <w:lang w:val="en-US" w:eastAsia="zh-CN"/>
        </w:rPr>
        <w:t>是新疆及兵团的重要任务。</w:t>
      </w:r>
    </w:p>
    <w:p w14:paraId="67A2282D">
      <w:pPr>
        <w:ind w:firstLine="643" w:firstLineChars="200"/>
        <w:rPr>
          <w:rFonts w:hint="eastAsia" w:ascii="仿宋_GB2312" w:hAnsi="Times New Roman" w:eastAsia="仿宋_GB2312" w:cs="Times New Roman"/>
          <w:b w:val="0"/>
          <w:bCs/>
          <w:sz w:val="32"/>
          <w:szCs w:val="32"/>
          <w:lang w:eastAsia="zh-CN"/>
        </w:rPr>
      </w:pPr>
      <w:r>
        <w:rPr>
          <w:rFonts w:hint="eastAsia" w:ascii="仿宋_GB2312" w:hAnsi="Times New Roman" w:eastAsia="仿宋_GB2312" w:cs="Times New Roman"/>
          <w:b/>
          <w:bCs w:val="0"/>
          <w:sz w:val="32"/>
          <w:szCs w:val="32"/>
          <w:lang w:eastAsia="zh-CN"/>
        </w:rPr>
        <w:t>发展麦后复播大豆节本增效，有效扩大大豆产能。</w:t>
      </w:r>
      <w:r>
        <w:rPr>
          <w:rFonts w:hint="eastAsia" w:ascii="仿宋_GB2312" w:hAnsi="Times New Roman" w:eastAsia="仿宋_GB2312" w:cs="Times New Roman"/>
          <w:b w:val="0"/>
          <w:bCs/>
          <w:sz w:val="32"/>
          <w:szCs w:val="32"/>
          <w:lang w:eastAsia="zh-CN"/>
        </w:rPr>
        <w:t>随着新疆及兵团小麦面积的增加（新疆小麦2068万亩，），麦收后有大量的土地和光热资源可以利用（冬小麦种植区可推行麦后复种大豆800万亩）。若全部或部分用来复播大豆，可显著提升兵团大豆产能。南疆光热资源优于北疆地区，麦收后有效积温可达2500-2700℃，可满足玉米、大豆、油葵等作物的生长。新疆机械化水平高、滴灌条件便利，为</w:t>
      </w:r>
      <w:r>
        <w:rPr>
          <w:rFonts w:hint="eastAsia" w:ascii="仿宋_GB2312" w:eastAsia="仿宋_GB2312" w:cs="Times New Roman"/>
          <w:b w:val="0"/>
          <w:bCs/>
          <w:sz w:val="32"/>
          <w:szCs w:val="32"/>
          <w:lang w:val="en-US" w:eastAsia="zh-CN"/>
        </w:rPr>
        <w:t>新</w:t>
      </w:r>
      <w:r>
        <w:rPr>
          <w:rFonts w:hint="eastAsia" w:ascii="仿宋_GB2312" w:hAnsi="Times New Roman" w:eastAsia="仿宋_GB2312" w:cs="Times New Roman"/>
          <w:b w:val="0"/>
          <w:bCs/>
          <w:sz w:val="32"/>
          <w:szCs w:val="32"/>
          <w:lang w:eastAsia="zh-CN"/>
        </w:rPr>
        <w:t>疆</w:t>
      </w:r>
      <w:r>
        <w:rPr>
          <w:rFonts w:hint="eastAsia" w:ascii="仿宋_GB2312" w:eastAsia="仿宋_GB2312" w:cs="Times New Roman"/>
          <w:b w:val="0"/>
          <w:bCs/>
          <w:sz w:val="32"/>
          <w:szCs w:val="32"/>
          <w:lang w:val="en-US" w:eastAsia="zh-CN"/>
        </w:rPr>
        <w:t>及兵团</w:t>
      </w:r>
      <w:r>
        <w:rPr>
          <w:rFonts w:hint="eastAsia" w:ascii="仿宋_GB2312" w:hAnsi="Times New Roman" w:eastAsia="仿宋_GB2312" w:cs="Times New Roman"/>
          <w:b w:val="0"/>
          <w:bCs/>
          <w:sz w:val="32"/>
          <w:szCs w:val="32"/>
          <w:lang w:eastAsia="zh-CN"/>
        </w:rPr>
        <w:t>“一年两熟”或“两年三熟”提供有利保障。2022 年北疆复播大豆平均产量220kg/亩以上；2023年新疆农垦科学院北疆复播大豆创下258.05kg/亩记录；2022年一师七团麦后复播大豆创下了291.4 kg/亩的高产记录，2023年一师二团麦后复播大豆实收303.4 kg/亩。这些成功的典型将为复播大豆的推广提供重要参考依据。</w:t>
      </w:r>
    </w:p>
    <w:p w14:paraId="3423701B">
      <w:pPr>
        <w:ind w:firstLine="643" w:firstLineChars="200"/>
        <w:rPr>
          <w:rFonts w:hint="eastAsia" w:ascii="仿宋_GB2312" w:hAnsi="Times New Roman" w:eastAsia="仿宋_GB2312" w:cs="Times New Roman"/>
          <w:b w:val="0"/>
          <w:bCs/>
          <w:sz w:val="32"/>
          <w:szCs w:val="32"/>
          <w:lang w:eastAsia="zh-CN"/>
        </w:rPr>
      </w:pPr>
      <w:r>
        <w:rPr>
          <w:rFonts w:hint="eastAsia" w:ascii="仿宋_GB2312" w:eastAsia="仿宋_GB2312" w:cs="Times New Roman"/>
          <w:b/>
          <w:bCs w:val="0"/>
          <w:sz w:val="32"/>
          <w:szCs w:val="32"/>
          <w:lang w:val="en-US" w:eastAsia="zh-CN"/>
        </w:rPr>
        <w:t>麦后大豆免耕精播种植技术经济生态效益显著。</w:t>
      </w:r>
      <w:r>
        <w:rPr>
          <w:rFonts w:hint="eastAsia" w:ascii="仿宋_GB2312" w:hAnsi="Times New Roman" w:eastAsia="仿宋_GB2312" w:cs="Times New Roman"/>
          <w:b w:val="0"/>
          <w:bCs/>
          <w:sz w:val="32"/>
          <w:szCs w:val="32"/>
          <w:lang w:eastAsia="zh-CN"/>
        </w:rPr>
        <w:t>以原茬地免耕播种覆秸机械化技术为核心，采用冬小麦-大豆复播种植制度，小麦收获留茬、不粉碎，秸秆及留茬全部留在田间，不进行任何整地处理，保持原状。采用小麦原茬地免耕覆秸播种机进行作业，一次性完成“清茬防堵、种床整备、侧深施肥、精量播种、覆土镇压和秸秆残茬粉碎均匀覆盖”6项作业，秸秆在清洁防堵种床整备作业过程中被适度粉碎均匀覆盖到已播地表面，增加了地表覆盖度和粗糙度，显著抑制土壤流失，增加土壤蓄水量，培肥土壤，全面提升耕地抵御水土流失的能力和土壤质量，提高耕地生产能力。</w:t>
      </w:r>
    </w:p>
    <w:p w14:paraId="076EE36B">
      <w:pPr>
        <w:ind w:firstLine="640" w:firstLineChars="200"/>
        <w:rPr>
          <w:rFonts w:hint="eastAsia" w:ascii="仿宋_GB2312" w:hAnsi="Times New Roman" w:eastAsia="仿宋_GB2312" w:cs="Times New Roman"/>
          <w:b w:val="0"/>
          <w:bCs/>
          <w:sz w:val="32"/>
          <w:szCs w:val="32"/>
          <w:lang w:eastAsia="zh-CN"/>
        </w:rPr>
      </w:pPr>
      <w:r>
        <w:rPr>
          <w:rFonts w:hint="eastAsia" w:ascii="仿宋_GB2312" w:hAnsi="Times New Roman" w:eastAsia="仿宋_GB2312" w:cs="Times New Roman"/>
          <w:b w:val="0"/>
          <w:bCs/>
          <w:sz w:val="32"/>
          <w:szCs w:val="32"/>
          <w:lang w:eastAsia="zh-CN"/>
        </w:rPr>
        <w:t>在新疆现有冬小麦收获后复种大豆产量较低、效益较少的情况之下，通过规模化推行《麦后大豆免耕精播种植技术规程》标准，提升麦后免耕复播大豆产量水平，提高农户经济效益收入，并通过示范区的辐射带头作用带动周边种植区域，把示范区集成新品种、新技术的高产种植模式、高产栽培技术规程等进行了扩大化的应用，</w:t>
      </w:r>
      <w:r>
        <w:rPr>
          <w:rFonts w:hint="eastAsia" w:ascii="仿宋_GB2312" w:hAnsi="Times New Roman" w:eastAsia="仿宋_GB2312" w:cs="Times New Roman"/>
          <w:b w:val="0"/>
          <w:bCs/>
          <w:sz w:val="32"/>
          <w:szCs w:val="32"/>
          <w:lang w:val="en-US" w:eastAsia="zh-CN"/>
        </w:rPr>
        <w:t>对</w:t>
      </w:r>
      <w:r>
        <w:rPr>
          <w:rFonts w:hint="eastAsia" w:ascii="仿宋_GB2312" w:hAnsi="Times New Roman" w:eastAsia="仿宋_GB2312" w:cs="Times New Roman"/>
          <w:b w:val="0"/>
          <w:bCs/>
          <w:sz w:val="32"/>
          <w:szCs w:val="32"/>
          <w:lang w:eastAsia="zh-CN"/>
        </w:rPr>
        <w:t>促进新疆大豆产业发展</w:t>
      </w:r>
      <w:r>
        <w:rPr>
          <w:rFonts w:hint="eastAsia" w:ascii="仿宋_GB2312" w:hAnsi="Times New Roman" w:eastAsia="仿宋_GB2312" w:cs="Times New Roman"/>
          <w:b w:val="0"/>
          <w:bCs/>
          <w:sz w:val="32"/>
          <w:szCs w:val="32"/>
          <w:lang w:val="en-US" w:eastAsia="zh-CN"/>
        </w:rPr>
        <w:t>具有重要意义</w:t>
      </w:r>
      <w:r>
        <w:rPr>
          <w:rFonts w:hint="eastAsia" w:ascii="仿宋_GB2312" w:hAnsi="Times New Roman" w:eastAsia="仿宋_GB2312" w:cs="Times New Roman"/>
          <w:b w:val="0"/>
          <w:bCs/>
          <w:sz w:val="32"/>
          <w:szCs w:val="32"/>
          <w:lang w:eastAsia="zh-CN"/>
        </w:rPr>
        <w:t>。</w:t>
      </w:r>
    </w:p>
    <w:p w14:paraId="53CBE18F">
      <w:pPr>
        <w:numPr>
          <w:ilvl w:val="0"/>
          <w:numId w:val="0"/>
        </w:numPr>
        <w:ind w:firstLine="640" w:firstLineChars="200"/>
        <w:rPr>
          <w:rFonts w:hint="eastAsia" w:ascii="黑体" w:hAnsi="黑体" w:eastAsia="黑体" w:cs="黑体"/>
          <w:b/>
          <w:bCs/>
          <w:sz w:val="32"/>
          <w:szCs w:val="32"/>
        </w:rPr>
      </w:pPr>
      <w:r>
        <w:rPr>
          <w:rFonts w:hint="eastAsia" w:ascii="黑体" w:hAnsi="黑体" w:eastAsia="黑体" w:cs="黑体"/>
          <w:b w:val="0"/>
          <w:bCs w:val="0"/>
          <w:sz w:val="32"/>
          <w:szCs w:val="32"/>
          <w:lang w:eastAsia="zh-CN"/>
        </w:rPr>
        <w:t>三、</w:t>
      </w:r>
      <w:r>
        <w:rPr>
          <w:rFonts w:hint="eastAsia" w:ascii="黑体" w:hAnsi="黑体" w:eastAsia="黑体" w:cs="黑体"/>
          <w:b w:val="0"/>
          <w:bCs w:val="0"/>
          <w:sz w:val="32"/>
          <w:szCs w:val="32"/>
        </w:rPr>
        <w:t>主要起草过程</w:t>
      </w:r>
    </w:p>
    <w:p w14:paraId="30C9CC5A">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（一）</w:t>
      </w:r>
      <w:r>
        <w:rPr>
          <w:rFonts w:hint="eastAsia" w:ascii="楷体_GB2312" w:hAnsi="Times New Roman" w:eastAsia="楷体_GB2312" w:cs="Times New Roman"/>
          <w:sz w:val="32"/>
          <w:szCs w:val="32"/>
        </w:rPr>
        <w:t>前期准备阶段</w:t>
      </w:r>
    </w:p>
    <w:p w14:paraId="31D26137">
      <w:pPr>
        <w:ind w:firstLine="640" w:firstLineChars="200"/>
        <w:rPr>
          <w:rFonts w:hint="eastAsia" w:ascii="仿宋_GB2312" w:hAnsi="Times New Roman" w:eastAsia="仿宋_GB2312" w:cs="Times New Roman"/>
          <w:bCs/>
          <w:sz w:val="32"/>
          <w:szCs w:val="32"/>
          <w:lang w:eastAsia="zh-CN"/>
        </w:rPr>
      </w:pPr>
      <w:r>
        <w:rPr>
          <w:rFonts w:hint="eastAsia" w:ascii="仿宋_GB2312" w:eastAsia="仿宋_GB2312" w:cs="Times New Roman"/>
          <w:b w:val="0"/>
          <w:bCs/>
          <w:sz w:val="32"/>
          <w:szCs w:val="32"/>
          <w:lang w:val="en-US" w:eastAsia="zh-CN"/>
        </w:rPr>
        <w:t>项目组前期引进</w:t>
      </w:r>
      <w:r>
        <w:rPr>
          <w:rFonts w:hint="eastAsia" w:ascii="仿宋_GB2312" w:hAnsi="Times New Roman" w:eastAsia="仿宋_GB2312" w:cs="Times New Roman"/>
          <w:b w:val="0"/>
          <w:bCs/>
          <w:sz w:val="32"/>
          <w:szCs w:val="32"/>
          <w:lang w:eastAsia="zh-CN"/>
        </w:rPr>
        <w:t>2BMFJ-PB4型原茬地免耕覆秸精量播种机</w:t>
      </w:r>
      <w:r>
        <w:rPr>
          <w:rFonts w:hint="eastAsia" w:ascii="仿宋_GB2312" w:eastAsia="仿宋_GB2312" w:cs="Times New Roman"/>
          <w:b w:val="0"/>
          <w:bCs/>
          <w:sz w:val="32"/>
          <w:szCs w:val="32"/>
          <w:lang w:eastAsia="zh-CN"/>
        </w:rPr>
        <w:t>，</w:t>
      </w:r>
      <w:r>
        <w:rPr>
          <w:rFonts w:hint="eastAsia" w:ascii="仿宋_GB2312" w:eastAsia="仿宋_GB2312" w:cs="Times New Roman"/>
          <w:b w:val="0"/>
          <w:bCs/>
          <w:sz w:val="32"/>
          <w:szCs w:val="32"/>
          <w:lang w:val="en-US" w:eastAsia="zh-CN"/>
        </w:rPr>
        <w:t>在伊犁地区开展麦后复播大豆免耕播种试验。</w:t>
      </w:r>
      <w:r>
        <w:rPr>
          <w:rFonts w:hint="eastAsia" w:ascii="仿宋_GB2312" w:hAnsi="Times New Roman" w:eastAsia="仿宋_GB2312" w:cs="Times New Roman"/>
          <w:b w:val="0"/>
          <w:bCs/>
          <w:sz w:val="32"/>
          <w:szCs w:val="32"/>
          <w:lang w:eastAsia="zh-CN"/>
        </w:rPr>
        <w:t>前茬为冬小麦，种植密度 3.8万株/亩。尿素、二铵、硫酸钾做为种肥 20kg/亩(尿素5kg/亩、二铵 5 kg/亩、钾肥 10 kg/亩)。</w:t>
      </w:r>
      <w:r>
        <w:rPr>
          <w:rFonts w:hint="eastAsia" w:ascii="仿宋_GB2312" w:eastAsia="仿宋_GB2312" w:cs="Times New Roman"/>
          <w:b w:val="0"/>
          <w:bCs/>
          <w:sz w:val="32"/>
          <w:szCs w:val="32"/>
          <w:lang w:val="en-US" w:eastAsia="zh-CN"/>
        </w:rPr>
        <w:t>2019年，伊犁巩留县阿尕尔森镇阿尕尔森村15亩复播大豆中黄901，经专家理论测产，产量160.8kg/亩；15亩黑科60平均产量195.9kg/亩，专家组一致认为，免耕复播大豆田间长势均匀、整齐，模式省时省工，能充分发挥大豆品种增产潜力，建议课题组对该模式进行大面积示范推广。此后，项目组开展免耕复播大豆高产栽培技术研究，2023年，采用麦后原茬免耕滴灌精量播种技术开展复播大豆高产创建，平均行距35cm，株距5cm，理论株数3.8万株/亩，灌水7次，总灌水量264m</w:t>
      </w:r>
      <w:r>
        <w:rPr>
          <w:rFonts w:hint="eastAsia" w:ascii="仿宋_GB2312" w:eastAsia="仿宋_GB2312" w:cs="Times New Roman"/>
          <w:b w:val="0"/>
          <w:bCs/>
          <w:sz w:val="32"/>
          <w:szCs w:val="32"/>
          <w:vertAlign w:val="superscript"/>
          <w:lang w:val="en-US" w:eastAsia="zh-CN"/>
        </w:rPr>
        <w:t>3</w:t>
      </w:r>
      <w:r>
        <w:rPr>
          <w:rFonts w:hint="eastAsia" w:ascii="仿宋_GB2312" w:eastAsia="仿宋_GB2312" w:cs="Times New Roman"/>
          <w:b w:val="0"/>
          <w:bCs/>
          <w:sz w:val="32"/>
          <w:szCs w:val="32"/>
          <w:lang w:val="en-US" w:eastAsia="zh-CN"/>
        </w:rPr>
        <w:t>，化学除草1次，叶面喷施2次。经专家实收测产，麦后免耕大豆高产示范田，实收35.17亩，平均亩产258.05kg，其中14.86亩黑科60平均亩产277.77kg，创北疆麦后复播大豆高产记录;</w:t>
      </w:r>
      <w:r>
        <w:rPr>
          <w:rFonts w:hint="eastAsia" w:ascii="仿宋_GB2312" w:hAnsi="Times New Roman" w:eastAsia="仿宋_GB2312" w:cs="Times New Roman"/>
          <w:b w:val="0"/>
          <w:bCs/>
          <w:sz w:val="32"/>
          <w:szCs w:val="32"/>
          <w:lang w:eastAsia="zh-CN"/>
        </w:rPr>
        <w:t>一师二团麦后复播大豆实收303.4 kg/亩。</w:t>
      </w:r>
      <w:r>
        <w:rPr>
          <w:rFonts w:hint="eastAsia" w:ascii="仿宋_GB2312" w:eastAsia="仿宋_GB2312" w:cs="Times New Roman"/>
          <w:b w:val="0"/>
          <w:bCs/>
          <w:sz w:val="32"/>
          <w:szCs w:val="32"/>
          <w:lang w:val="en-US" w:eastAsia="zh-CN"/>
        </w:rPr>
        <w:t>集成“早熟高产品种、免耕覆秸、精量播种、高密种植、化学除草、水肥一体化、全程机械化”等技术，形成北疆麦后免耕复播大豆高产栽培模式，</w:t>
      </w:r>
      <w:r>
        <w:rPr>
          <w:rFonts w:hint="eastAsia" w:ascii="仿宋_GB2312" w:hAnsi="Times New Roman" w:eastAsia="仿宋_GB2312" w:cs="Times New Roman"/>
          <w:b w:val="0"/>
          <w:bCs/>
          <w:sz w:val="32"/>
          <w:szCs w:val="32"/>
          <w:lang w:eastAsia="zh-CN"/>
        </w:rPr>
        <w:t>这些成功的典型将为复播大豆的推广提供重要参考依据。</w:t>
      </w:r>
    </w:p>
    <w:p w14:paraId="29C62A12">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（二）</w:t>
      </w:r>
      <w:r>
        <w:rPr>
          <w:rFonts w:hint="eastAsia" w:ascii="楷体_GB2312" w:hAnsi="Times New Roman" w:eastAsia="楷体_GB2312" w:cs="Times New Roman"/>
          <w:sz w:val="32"/>
          <w:szCs w:val="32"/>
        </w:rPr>
        <w:t>标准立项阶段</w:t>
      </w:r>
    </w:p>
    <w:p w14:paraId="75C7D1C1">
      <w:pPr>
        <w:ind w:firstLine="640" w:firstLineChars="200"/>
        <w:rPr>
          <w:rFonts w:hint="eastAsia" w:ascii="仿宋_GB2312" w:hAnsi="Times New Roman" w:eastAsia="仿宋_GB2312" w:cs="Times New Roman"/>
          <w:bCs/>
          <w:sz w:val="32"/>
          <w:szCs w:val="32"/>
          <w:lang w:eastAsia="zh-CN"/>
        </w:rPr>
      </w:pPr>
      <w:r>
        <w:rPr>
          <w:rFonts w:hint="eastAsia" w:ascii="楷体_GB2312" w:hAnsi="Times New Roman" w:eastAsia="楷体_GB2312" w:cs="Times New Roman"/>
          <w:sz w:val="32"/>
          <w:szCs w:val="32"/>
          <w:lang w:val="en-US" w:eastAsia="zh-CN"/>
        </w:rPr>
        <w:t xml:space="preserve"> </w:t>
      </w:r>
      <w:r>
        <w:rPr>
          <w:rFonts w:hint="eastAsia" w:ascii="仿宋_GB2312" w:hAnsi="Times New Roman" w:eastAsia="仿宋_GB2312" w:cs="Times New Roman"/>
          <w:bCs/>
          <w:sz w:val="32"/>
          <w:szCs w:val="32"/>
          <w:lang w:val="en-US" w:eastAsia="zh-CN"/>
        </w:rPr>
        <w:t>201</w:t>
      </w:r>
      <w:r>
        <w:rPr>
          <w:rFonts w:hint="eastAsia" w:ascii="仿宋_GB2312" w:eastAsia="仿宋_GB2312" w:cs="Times New Roman"/>
          <w:bCs/>
          <w:sz w:val="32"/>
          <w:szCs w:val="32"/>
          <w:lang w:val="en-US" w:eastAsia="zh-CN"/>
        </w:rPr>
        <w:t>8</w:t>
      </w:r>
      <w:r>
        <w:rPr>
          <w:rFonts w:hint="eastAsia" w:ascii="仿宋_GB2312" w:hAnsi="Times New Roman" w:eastAsia="仿宋_GB2312" w:cs="Times New Roman"/>
          <w:bCs/>
          <w:sz w:val="32"/>
          <w:szCs w:val="32"/>
          <w:lang w:val="en-US" w:eastAsia="zh-CN"/>
        </w:rPr>
        <w:t>年-2023年，项目组在全面调查、掌握新疆及兵团各地区</w:t>
      </w:r>
      <w:r>
        <w:rPr>
          <w:rFonts w:hint="eastAsia" w:ascii="仿宋_GB2312" w:eastAsia="仿宋_GB2312" w:cs="Times New Roman"/>
          <w:bCs/>
          <w:sz w:val="32"/>
          <w:szCs w:val="32"/>
          <w:lang w:val="en-US" w:eastAsia="zh-CN"/>
        </w:rPr>
        <w:t>复播</w:t>
      </w:r>
      <w:r>
        <w:rPr>
          <w:rFonts w:hint="eastAsia" w:ascii="仿宋_GB2312" w:hAnsi="Times New Roman" w:eastAsia="仿宋_GB2312" w:cs="Times New Roman"/>
          <w:bCs/>
          <w:sz w:val="32"/>
          <w:szCs w:val="32"/>
          <w:lang w:val="en-US" w:eastAsia="zh-CN"/>
        </w:rPr>
        <w:t>大豆生产中存在问题的基础上，团队开展</w:t>
      </w:r>
      <w:r>
        <w:rPr>
          <w:rFonts w:hint="eastAsia" w:ascii="仿宋_GB2312" w:eastAsia="仿宋_GB2312" w:cs="Times New Roman"/>
          <w:bCs/>
          <w:sz w:val="32"/>
          <w:szCs w:val="32"/>
          <w:lang w:val="en-US" w:eastAsia="zh-CN"/>
        </w:rPr>
        <w:t>麦后复播</w:t>
      </w:r>
      <w:r>
        <w:rPr>
          <w:rFonts w:hint="eastAsia" w:ascii="仿宋_GB2312" w:hAnsi="Times New Roman" w:eastAsia="仿宋_GB2312" w:cs="Times New Roman"/>
          <w:bCs/>
          <w:sz w:val="32"/>
          <w:szCs w:val="32"/>
          <w:lang w:val="en-US" w:eastAsia="zh-CN"/>
        </w:rPr>
        <w:t>大豆</w:t>
      </w:r>
      <w:r>
        <w:rPr>
          <w:rFonts w:hint="eastAsia" w:ascii="仿宋_GB2312" w:eastAsia="仿宋_GB2312" w:cs="Times New Roman"/>
          <w:bCs/>
          <w:sz w:val="32"/>
          <w:szCs w:val="32"/>
          <w:lang w:val="en-US" w:eastAsia="zh-CN"/>
        </w:rPr>
        <w:t>免耕覆秸精播滴灌高产</w:t>
      </w:r>
      <w:r>
        <w:rPr>
          <w:rFonts w:hint="eastAsia" w:ascii="仿宋_GB2312" w:hAnsi="Times New Roman" w:eastAsia="仿宋_GB2312" w:cs="Times New Roman"/>
          <w:bCs/>
          <w:sz w:val="32"/>
          <w:szCs w:val="32"/>
          <w:lang w:val="en-US" w:eastAsia="zh-CN"/>
        </w:rPr>
        <w:t>栽培技术研究，开展</w:t>
      </w:r>
      <w:r>
        <w:rPr>
          <w:rFonts w:hint="eastAsia" w:ascii="仿宋_GB2312" w:eastAsia="仿宋_GB2312" w:cs="Times New Roman"/>
          <w:bCs/>
          <w:sz w:val="32"/>
          <w:szCs w:val="32"/>
          <w:lang w:val="en-US" w:eastAsia="zh-CN"/>
        </w:rPr>
        <w:t>复播大豆播种期研究，明确各地区复播大豆播种时期；开展复播大豆品种筛选试验，筛选出适宜各地区种植的高产优质复播大豆品种；开展复播大豆苗后除草剂施用技术研究，明确了复播大豆苗后除草剂药剂用量及施用时期；开展复播大豆播种模式及种植密度研究，明确复播大豆最佳播种密度；开展复播</w:t>
      </w:r>
      <w:r>
        <w:rPr>
          <w:rFonts w:hint="eastAsia" w:ascii="仿宋_GB2312" w:hAnsi="Times New Roman" w:eastAsia="仿宋_GB2312" w:cs="Times New Roman"/>
          <w:bCs/>
          <w:sz w:val="32"/>
          <w:szCs w:val="32"/>
          <w:lang w:val="en-US" w:eastAsia="zh-CN"/>
        </w:rPr>
        <w:t>大豆水肥</w:t>
      </w:r>
      <w:r>
        <w:rPr>
          <w:rFonts w:hint="eastAsia" w:ascii="仿宋_GB2312" w:eastAsia="仿宋_GB2312" w:cs="Times New Roman"/>
          <w:bCs/>
          <w:sz w:val="32"/>
          <w:szCs w:val="32"/>
          <w:lang w:val="en-US" w:eastAsia="zh-CN"/>
        </w:rPr>
        <w:t>用量</w:t>
      </w:r>
      <w:r>
        <w:rPr>
          <w:rFonts w:hint="eastAsia" w:ascii="仿宋_GB2312" w:hAnsi="Times New Roman" w:eastAsia="仿宋_GB2312" w:cs="Times New Roman"/>
          <w:bCs/>
          <w:sz w:val="32"/>
          <w:szCs w:val="32"/>
          <w:lang w:val="en-US" w:eastAsia="zh-CN"/>
        </w:rPr>
        <w:t>试验，明确</w:t>
      </w:r>
      <w:r>
        <w:rPr>
          <w:rFonts w:hint="eastAsia" w:ascii="仿宋_GB2312" w:eastAsia="仿宋_GB2312" w:cs="Times New Roman"/>
          <w:bCs/>
          <w:sz w:val="32"/>
          <w:szCs w:val="32"/>
          <w:lang w:val="en-US" w:eastAsia="zh-CN"/>
        </w:rPr>
        <w:t>复播</w:t>
      </w:r>
      <w:r>
        <w:rPr>
          <w:rFonts w:hint="eastAsia" w:ascii="仿宋_GB2312" w:hAnsi="Times New Roman" w:eastAsia="仿宋_GB2312" w:cs="Times New Roman"/>
          <w:bCs/>
          <w:sz w:val="32"/>
          <w:szCs w:val="32"/>
          <w:lang w:val="en-US" w:eastAsia="zh-CN"/>
        </w:rPr>
        <w:t>大豆高产的最佳水肥投入量</w:t>
      </w:r>
      <w:r>
        <w:rPr>
          <w:rFonts w:hint="eastAsia" w:ascii="仿宋_GB2312" w:eastAsia="仿宋_GB2312" w:cs="Times New Roman"/>
          <w:bCs/>
          <w:sz w:val="32"/>
          <w:szCs w:val="32"/>
          <w:lang w:val="en-US" w:eastAsia="zh-CN"/>
        </w:rPr>
        <w:t>，提高水肥利用效率</w:t>
      </w:r>
      <w:r>
        <w:rPr>
          <w:rFonts w:hint="eastAsia" w:ascii="仿宋_GB2312" w:hAnsi="Times New Roman" w:eastAsia="仿宋_GB2312" w:cs="Times New Roman"/>
          <w:bCs/>
          <w:sz w:val="32"/>
          <w:szCs w:val="32"/>
          <w:lang w:val="en-US" w:eastAsia="zh-CN"/>
        </w:rPr>
        <w:t>；开展</w:t>
      </w:r>
      <w:r>
        <w:rPr>
          <w:rFonts w:hint="eastAsia" w:ascii="仿宋_GB2312" w:eastAsia="仿宋_GB2312" w:cs="Times New Roman"/>
          <w:bCs/>
          <w:sz w:val="32"/>
          <w:szCs w:val="32"/>
          <w:lang w:val="en-US" w:eastAsia="zh-CN"/>
        </w:rPr>
        <w:t>复播</w:t>
      </w:r>
      <w:r>
        <w:rPr>
          <w:rFonts w:hint="eastAsia" w:ascii="仿宋_GB2312" w:hAnsi="Times New Roman" w:eastAsia="仿宋_GB2312" w:cs="Times New Roman"/>
          <w:bCs/>
          <w:sz w:val="32"/>
          <w:szCs w:val="32"/>
          <w:lang w:val="en-US" w:eastAsia="zh-CN"/>
        </w:rPr>
        <w:t>大豆病虫害防治及叶面肥喷施的研究，有效降低</w:t>
      </w:r>
      <w:r>
        <w:rPr>
          <w:rFonts w:hint="eastAsia" w:ascii="仿宋_GB2312" w:eastAsia="仿宋_GB2312" w:cs="Times New Roman"/>
          <w:bCs/>
          <w:sz w:val="32"/>
          <w:szCs w:val="32"/>
          <w:lang w:val="en-US" w:eastAsia="zh-CN"/>
        </w:rPr>
        <w:t>复播</w:t>
      </w:r>
      <w:r>
        <w:rPr>
          <w:rFonts w:hint="eastAsia" w:ascii="仿宋_GB2312" w:hAnsi="Times New Roman" w:eastAsia="仿宋_GB2312" w:cs="Times New Roman"/>
          <w:bCs/>
          <w:sz w:val="32"/>
          <w:szCs w:val="32"/>
          <w:lang w:val="en-US" w:eastAsia="zh-CN"/>
        </w:rPr>
        <w:t>大豆生育期内病虫害风险，增荚促粒重，提高大豆产量。通过对各项栽培技术分析整合，初步形成了“麦后大豆免耕精播种植技术规程”。</w:t>
      </w:r>
    </w:p>
    <w:p w14:paraId="193C1713">
      <w:pPr>
        <w:numPr>
          <w:ilvl w:val="0"/>
          <w:numId w:val="0"/>
        </w:numPr>
        <w:ind w:firstLine="640" w:firstLineChars="200"/>
        <w:rPr>
          <w:rFonts w:hint="default" w:ascii="仿宋_GB2312" w:hAnsi="Times New Roman" w:eastAsia="仿宋_GB2312" w:cs="Times New Roman"/>
          <w:bCs/>
          <w:sz w:val="32"/>
          <w:szCs w:val="32"/>
          <w:lang w:val="en-US" w:eastAsia="zh-CN"/>
        </w:rPr>
      </w:pPr>
      <w:r>
        <w:rPr>
          <w:rFonts w:ascii="Times New Roman" w:hAnsi="Times New Roman" w:eastAsia="仿宋" w:cs="Times New Roman"/>
          <w:bCs/>
          <w:sz w:val="32"/>
          <w:szCs w:val="32"/>
          <w:lang w:eastAsia="zh-CN"/>
        </w:rPr>
        <w:t>20</w:t>
      </w:r>
      <w:r>
        <w:rPr>
          <w:rFonts w:hint="eastAsia" w:ascii="Times New Roman" w:hAnsi="Times New Roman" w:eastAsia="仿宋" w:cs="Times New Roman"/>
          <w:bCs/>
          <w:sz w:val="32"/>
          <w:szCs w:val="32"/>
          <w:lang w:val="en-US" w:eastAsia="zh-CN"/>
        </w:rPr>
        <w:t>20</w:t>
      </w:r>
      <w:r>
        <w:rPr>
          <w:rFonts w:ascii="Times New Roman" w:hAnsi="Times New Roman" w:eastAsia="仿宋" w:cs="Times New Roman"/>
          <w:bCs/>
          <w:sz w:val="32"/>
          <w:szCs w:val="32"/>
          <w:lang w:eastAsia="zh-CN"/>
        </w:rPr>
        <w:t>年</w:t>
      </w:r>
      <w:r>
        <w:rPr>
          <w:rFonts w:hint="eastAsia" w:ascii="Times New Roman" w:hAnsi="Times New Roman" w:eastAsia="仿宋" w:cs="Times New Roman"/>
          <w:bCs/>
          <w:sz w:val="32"/>
          <w:szCs w:val="32"/>
          <w:lang w:val="en-US" w:eastAsia="zh-CN"/>
        </w:rPr>
        <w:t>项目组</w:t>
      </w:r>
      <w:r>
        <w:rPr>
          <w:rFonts w:ascii="Times New Roman" w:hAnsi="Times New Roman" w:eastAsia="仿宋" w:cs="Times New Roman"/>
          <w:bCs/>
          <w:sz w:val="32"/>
          <w:szCs w:val="32"/>
          <w:lang w:eastAsia="zh-CN"/>
        </w:rPr>
        <w:t>成立标准制定小组，明确分工及进度。通过查阅相关文献资料及标准，确定技术路线、研究方法，</w:t>
      </w:r>
      <w:r>
        <w:rPr>
          <w:rFonts w:hint="eastAsia" w:ascii="仿宋_GB2312" w:hAnsi="Times New Roman" w:eastAsia="仿宋_GB2312" w:cs="Times New Roman"/>
          <w:bCs/>
          <w:sz w:val="32"/>
          <w:szCs w:val="32"/>
          <w:lang w:val="en-US" w:eastAsia="zh-CN"/>
        </w:rPr>
        <w:t>对已开展的各项试验进行分析汇总，并开展大豆高产创建，对集成的</w:t>
      </w:r>
      <w:r>
        <w:rPr>
          <w:rFonts w:hint="eastAsia" w:ascii="仿宋_GB2312" w:eastAsia="仿宋_GB2312" w:cs="Times New Roman"/>
          <w:bCs/>
          <w:sz w:val="32"/>
          <w:szCs w:val="32"/>
          <w:lang w:val="en-US" w:eastAsia="zh-CN"/>
        </w:rPr>
        <w:t>麦后复播大豆</w:t>
      </w:r>
      <w:r>
        <w:rPr>
          <w:rFonts w:hint="eastAsia" w:ascii="仿宋_GB2312" w:hAnsi="Times New Roman" w:eastAsia="仿宋_GB2312" w:cs="Times New Roman"/>
          <w:bCs/>
          <w:sz w:val="32"/>
          <w:szCs w:val="32"/>
          <w:lang w:val="en-US" w:eastAsia="zh-CN"/>
        </w:rPr>
        <w:t>高产栽培技术进行验证并不断优化完善，于2023年结合生产实际，撰写了《麦后大豆免耕精播种植技术规程》编制说明及规程草案，申报新疆维吾尔自治区2023年度地方标准制修订项目计划。本项地方标准于2023年7月获批立项，项目名称《麦后大豆免耕精播种植技术规程（兵团范围）》，立项编号：XJ23-14</w:t>
      </w:r>
      <w:r>
        <w:rPr>
          <w:rFonts w:hint="eastAsia" w:ascii="仿宋_GB2312" w:eastAsia="仿宋_GB2312" w:cs="Times New Roman"/>
          <w:bCs/>
          <w:sz w:val="32"/>
          <w:szCs w:val="32"/>
          <w:lang w:val="en-US" w:eastAsia="zh-CN"/>
        </w:rPr>
        <w:t>6</w:t>
      </w:r>
      <w:r>
        <w:rPr>
          <w:rFonts w:hint="eastAsia" w:ascii="仿宋_GB2312" w:hAnsi="Times New Roman" w:eastAsia="仿宋_GB2312" w:cs="Times New Roman"/>
          <w:bCs/>
          <w:sz w:val="32"/>
          <w:szCs w:val="32"/>
          <w:lang w:val="en-US" w:eastAsia="zh-CN"/>
        </w:rPr>
        <w:t>。</w:t>
      </w:r>
    </w:p>
    <w:p w14:paraId="01ABAF47">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（三）</w:t>
      </w:r>
      <w:r>
        <w:rPr>
          <w:rFonts w:hint="eastAsia" w:ascii="楷体_GB2312" w:hAnsi="Times New Roman" w:eastAsia="楷体_GB2312" w:cs="Times New Roman"/>
          <w:sz w:val="32"/>
          <w:szCs w:val="32"/>
        </w:rPr>
        <w:t>初稿起草阶段</w:t>
      </w:r>
    </w:p>
    <w:p w14:paraId="44E847AE">
      <w:pPr>
        <w:numPr>
          <w:ilvl w:val="0"/>
          <w:numId w:val="0"/>
        </w:numPr>
        <w:ind w:firstLine="640" w:firstLineChars="200"/>
        <w:rPr>
          <w:rFonts w:hint="default"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2023年7月-2024年8月期间，标准标志小组成员按照任务分工，对《麦后大豆免耕精播种植技术规程（兵团范围）》草案稿进行编制及修改校对，并邀请行业有关专家对草案稿初稿进行审阅修改，多次校正后，于2024年9月形成《麦后大豆免耕精播种植技术规程（兵团范围）》征求意见稿。</w:t>
      </w:r>
    </w:p>
    <w:p w14:paraId="6C194BF7">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（四）</w:t>
      </w:r>
      <w:r>
        <w:rPr>
          <w:rFonts w:hint="eastAsia" w:ascii="楷体_GB2312" w:hAnsi="Times New Roman" w:eastAsia="楷体_GB2312" w:cs="Times New Roman"/>
          <w:sz w:val="32"/>
          <w:szCs w:val="32"/>
        </w:rPr>
        <w:t>试验研究阶段</w:t>
      </w:r>
    </w:p>
    <w:p w14:paraId="6C07208A">
      <w:pPr>
        <w:numPr>
          <w:ilvl w:val="0"/>
          <w:numId w:val="0"/>
        </w:numPr>
        <w:ind w:firstLine="640" w:firstLineChars="200"/>
        <w:rPr>
          <w:rFonts w:hint="eastAsia" w:ascii="仿宋_GB2312" w:eastAsia="仿宋_GB2312" w:cs="Times New Roman"/>
          <w:bCs/>
          <w:sz w:val="32"/>
          <w:szCs w:val="32"/>
          <w:lang w:val="en-US" w:eastAsia="zh-CN"/>
        </w:rPr>
      </w:pPr>
      <w:r>
        <w:rPr>
          <w:rFonts w:hint="eastAsia" w:ascii="仿宋_GB2312" w:eastAsia="仿宋_GB2312" w:cs="Times New Roman"/>
          <w:bCs/>
          <w:sz w:val="32"/>
          <w:szCs w:val="32"/>
          <w:lang w:val="en-US" w:eastAsia="zh-CN"/>
        </w:rPr>
        <w:t>项目组于2020年-2024年开展麦后复播大豆免耕精播滴灌技术试验研究。</w:t>
      </w:r>
    </w:p>
    <w:p w14:paraId="1FD4F7AB">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eastAsia="仿宋_GB2312" w:cs="Times New Roman"/>
          <w:bCs/>
          <w:sz w:val="32"/>
          <w:szCs w:val="32"/>
          <w:lang w:val="en-US" w:eastAsia="zh-CN"/>
        </w:rPr>
        <w:t>1、</w:t>
      </w:r>
      <w:r>
        <w:rPr>
          <w:rFonts w:hint="eastAsia" w:ascii="仿宋_GB2312" w:hAnsi="Times New Roman" w:eastAsia="仿宋_GB2312" w:cs="Times New Roman"/>
          <w:bCs/>
          <w:sz w:val="32"/>
          <w:szCs w:val="32"/>
          <w:lang w:val="en-US" w:eastAsia="zh-CN"/>
        </w:rPr>
        <w:t>开展麦后复播大豆品种筛选。对引进的24份早熟大豆开展麦后复播品种比较试验，筛选出5份产量潜力较高（亩产≥180kg）的品种，分别是东富豆1号、蒙豆1137、金源73、黑科88、鑫科10号，这5个品种在进行复播熟期适宜，田间抗倒伏性较强，产量潜力较高。</w:t>
      </w:r>
    </w:p>
    <w:p w14:paraId="3AB0D4E0">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2、开展麦后复播大豆高产创建与高产示范。在北疆石河子地区，选育6个早熟大豆品种开展免耕复播高产创建，经专家实收测产，昊疆40产量最低为231.59 kg/亩，6个品种的平均产量为258.05kg/亩，黑科60亩产277.77 kg/亩，创北疆麦后复播高产记录。</w:t>
      </w:r>
    </w:p>
    <w:p w14:paraId="1B31A6E5">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3、针对麦后复播大豆开展了麦后免耕复播大豆苗后茎叶化学除草、叶肥喷施试验，药剂选用10.8%高效盖草能EC 0.6-1.2L/hm2+48%灭草松2-3 L/hm2，试验结果显示：除草剂处理对于大豆苗期生长无明显影响，无药害现象发生。药后杂草第2天生长减慢，3天后杂草幼嫩叶片出现变黄、萎缩，枯萎，5天后部分较小的杂草死亡。除草剂关键点：喷施除草剂一定把握单子叶杂草植株3-4叶，双子叶杂草植株在2-3厘米高之前，喷药应选择中午温度较高时喷施。</w:t>
      </w:r>
    </w:p>
    <w:p w14:paraId="7F49C6F2">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 xml:space="preserve"> 4、集成“早熟高产品种、免耕覆秸、精量播种、高密种植、化学除草、水肥一体化、全程机械化”等技术，形成北疆麦后免耕复播大豆高产栽培模式。</w:t>
      </w:r>
    </w:p>
    <w:p w14:paraId="7B74972B">
      <w:pPr>
        <w:numPr>
          <w:ilvl w:val="0"/>
          <w:numId w:val="0"/>
        </w:numPr>
        <w:ind w:firstLine="640" w:firstLineChars="200"/>
        <w:rPr>
          <w:rFonts w:hint="eastAsia" w:ascii="楷体_GB2312" w:hAnsi="Times New Roman" w:eastAsia="楷体_GB2312" w:cs="Times New Roman"/>
          <w:sz w:val="32"/>
          <w:szCs w:val="32"/>
        </w:rPr>
      </w:pPr>
      <w:r>
        <w:rPr>
          <w:rFonts w:hint="eastAsia" w:ascii="楷体_GB2312" w:hAnsi="Times New Roman" w:eastAsia="楷体_GB2312" w:cs="Times New Roman"/>
          <w:kern w:val="2"/>
          <w:sz w:val="32"/>
          <w:szCs w:val="32"/>
          <w:lang w:val="en-US" w:eastAsia="zh-CN" w:bidi="ar-SA"/>
        </w:rPr>
        <w:t>（五）</w:t>
      </w:r>
      <w:r>
        <w:rPr>
          <w:rFonts w:hint="eastAsia" w:ascii="楷体_GB2312" w:hAnsi="Times New Roman" w:eastAsia="楷体_GB2312" w:cs="Times New Roman"/>
          <w:sz w:val="32"/>
          <w:szCs w:val="32"/>
        </w:rPr>
        <w:t>征求意见阶段</w:t>
      </w:r>
    </w:p>
    <w:p w14:paraId="3CA54F0F">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2024年10月，征求了兵团农业农村局、兵团农业技术推广总站、第一师农业农村局、第三师农业科学研究所、第八师农业农村局、新疆农业大学、新疆农业科学院农作物品种资源研究所、石河子大学农学院、塔里木大学农学院等单位专业技术人员意见建议，截至10月</w:t>
      </w:r>
      <w:r>
        <w:rPr>
          <w:rFonts w:hint="eastAsia" w:ascii="仿宋_GB2312" w:eastAsia="仿宋_GB2312" w:cs="Times New Roman"/>
          <w:bCs/>
          <w:sz w:val="32"/>
          <w:szCs w:val="32"/>
          <w:lang w:val="en-US" w:eastAsia="zh-CN"/>
        </w:rPr>
        <w:t>15日</w:t>
      </w:r>
      <w:r>
        <w:rPr>
          <w:rFonts w:hint="eastAsia" w:ascii="仿宋_GB2312" w:hAnsi="Times New Roman" w:eastAsia="仿宋_GB2312" w:cs="Times New Roman"/>
          <w:bCs/>
          <w:sz w:val="32"/>
          <w:szCs w:val="32"/>
          <w:lang w:val="en-US" w:eastAsia="zh-CN"/>
        </w:rPr>
        <w:t>，共收到相关意见和建议</w:t>
      </w:r>
      <w:r>
        <w:rPr>
          <w:rFonts w:hint="eastAsia" w:ascii="仿宋_GB2312" w:eastAsia="仿宋_GB2312" w:cs="Times New Roman"/>
          <w:bCs/>
          <w:sz w:val="32"/>
          <w:szCs w:val="32"/>
          <w:lang w:val="en-US" w:eastAsia="zh-CN"/>
        </w:rPr>
        <w:t>89</w:t>
      </w:r>
      <w:r>
        <w:rPr>
          <w:rFonts w:hint="eastAsia" w:ascii="仿宋_GB2312" w:hAnsi="Times New Roman" w:eastAsia="仿宋_GB2312" w:cs="Times New Roman"/>
          <w:bCs/>
          <w:sz w:val="32"/>
          <w:szCs w:val="32"/>
          <w:lang w:val="en-US" w:eastAsia="zh-CN"/>
        </w:rPr>
        <w:t>条</w:t>
      </w:r>
      <w:r>
        <w:rPr>
          <w:rFonts w:hint="eastAsia" w:ascii="仿宋_GB2312" w:hAnsi="Times New Roman" w:eastAsia="仿宋_GB2312" w:cs="Times New Roman"/>
          <w:bCs/>
          <w:color w:val="auto"/>
          <w:sz w:val="32"/>
          <w:szCs w:val="32"/>
          <w:lang w:val="en-US" w:eastAsia="zh-CN"/>
        </w:rPr>
        <w:t>。起草组对收集到的意见进行了逐条分析、认真修改和补充完善，</w:t>
      </w:r>
      <w:r>
        <w:rPr>
          <w:rFonts w:hint="eastAsia" w:ascii="仿宋_GB2312" w:hAnsi="Times New Roman" w:eastAsia="仿宋_GB2312" w:cs="Times New Roman"/>
          <w:bCs/>
          <w:sz w:val="32"/>
          <w:szCs w:val="32"/>
          <w:lang w:val="en-US" w:eastAsia="zh-CN"/>
        </w:rPr>
        <w:t>采纳</w:t>
      </w:r>
      <w:r>
        <w:rPr>
          <w:rFonts w:hint="eastAsia" w:ascii="仿宋_GB2312" w:eastAsia="仿宋_GB2312" w:cs="Times New Roman"/>
          <w:bCs/>
          <w:sz w:val="32"/>
          <w:szCs w:val="32"/>
          <w:lang w:val="en-US" w:eastAsia="zh-CN"/>
        </w:rPr>
        <w:t>85</w:t>
      </w:r>
      <w:r>
        <w:rPr>
          <w:rFonts w:hint="eastAsia" w:ascii="仿宋_GB2312" w:hAnsi="Times New Roman" w:eastAsia="仿宋_GB2312" w:cs="Times New Roman"/>
          <w:bCs/>
          <w:sz w:val="32"/>
          <w:szCs w:val="32"/>
          <w:lang w:val="en-US" w:eastAsia="zh-CN"/>
        </w:rPr>
        <w:t>条，未予采纳</w:t>
      </w:r>
      <w:r>
        <w:rPr>
          <w:rFonts w:hint="eastAsia" w:ascii="仿宋_GB2312" w:eastAsia="仿宋_GB2312" w:cs="Times New Roman"/>
          <w:bCs/>
          <w:sz w:val="32"/>
          <w:szCs w:val="32"/>
          <w:lang w:val="en-US" w:eastAsia="zh-CN"/>
        </w:rPr>
        <w:t>6</w:t>
      </w:r>
      <w:r>
        <w:rPr>
          <w:rFonts w:hint="eastAsia" w:ascii="仿宋_GB2312" w:hAnsi="Times New Roman" w:eastAsia="仿宋_GB2312" w:cs="Times New Roman"/>
          <w:bCs/>
          <w:sz w:val="32"/>
          <w:szCs w:val="32"/>
          <w:lang w:val="en-US" w:eastAsia="zh-CN"/>
        </w:rPr>
        <w:t>条</w:t>
      </w:r>
      <w:r>
        <w:rPr>
          <w:rFonts w:hint="eastAsia" w:ascii="仿宋_GB2312" w:hAnsi="Times New Roman" w:eastAsia="仿宋_GB2312" w:cs="Times New Roman"/>
          <w:bCs/>
          <w:color w:val="auto"/>
          <w:sz w:val="32"/>
          <w:szCs w:val="32"/>
          <w:lang w:val="en-US" w:eastAsia="zh-CN"/>
        </w:rPr>
        <w:t>，于2024年10月</w:t>
      </w:r>
      <w:r>
        <w:rPr>
          <w:rFonts w:hint="eastAsia" w:ascii="仿宋_GB2312" w:eastAsia="仿宋_GB2312" w:cs="Times New Roman"/>
          <w:bCs/>
          <w:color w:val="auto"/>
          <w:sz w:val="32"/>
          <w:szCs w:val="32"/>
          <w:lang w:val="en-US" w:eastAsia="zh-CN"/>
        </w:rPr>
        <w:t>20</w:t>
      </w:r>
      <w:r>
        <w:rPr>
          <w:rFonts w:hint="eastAsia" w:ascii="仿宋_GB2312" w:hAnsi="Times New Roman" w:eastAsia="仿宋_GB2312" w:cs="Times New Roman"/>
          <w:bCs/>
          <w:color w:val="auto"/>
          <w:sz w:val="32"/>
          <w:szCs w:val="32"/>
          <w:lang w:val="en-US" w:eastAsia="zh-CN"/>
        </w:rPr>
        <w:t>形成了标准送审</w:t>
      </w:r>
      <w:r>
        <w:rPr>
          <w:rFonts w:hint="eastAsia" w:ascii="仿宋_GB2312" w:hAnsi="Times New Roman" w:eastAsia="仿宋_GB2312" w:cs="Times New Roman"/>
          <w:bCs/>
          <w:sz w:val="32"/>
          <w:szCs w:val="32"/>
          <w:lang w:val="en-US" w:eastAsia="zh-CN"/>
        </w:rPr>
        <w:t>稿（征求意见汇总表见附录1）。</w:t>
      </w:r>
    </w:p>
    <w:p w14:paraId="7BC5580F">
      <w:pPr>
        <w:spacing w:line="560" w:lineRule="exact"/>
        <w:ind w:firstLine="640" w:firstLineChars="200"/>
        <w:rPr>
          <w:rFonts w:ascii="楷体_GB2312" w:hAnsi="楷体_GB2312" w:eastAsia="楷体_GB2312" w:cs="楷体_GB2312"/>
          <w:bCs/>
          <w:sz w:val="32"/>
          <w:szCs w:val="32"/>
        </w:rPr>
      </w:pPr>
      <w:r>
        <w:rPr>
          <w:rFonts w:hint="eastAsia" w:ascii="楷体_GB2312" w:hAnsi="楷体_GB2312" w:eastAsia="楷体_GB2312" w:cs="楷体_GB2312"/>
          <w:bCs/>
          <w:sz w:val="32"/>
          <w:szCs w:val="32"/>
        </w:rPr>
        <w:t>（六）标准审定阶段</w:t>
      </w:r>
    </w:p>
    <w:p w14:paraId="6A767B1A">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2024年10月20日，新疆维吾尔自治区市场监督管理局组织</w:t>
      </w:r>
      <w:r>
        <w:rPr>
          <w:rFonts w:hint="eastAsia" w:ascii="仿宋_GB2312" w:eastAsia="仿宋_GB2312" w:cs="Times New Roman"/>
          <w:bCs/>
          <w:sz w:val="32"/>
          <w:szCs w:val="32"/>
          <w:lang w:val="en-US" w:eastAsia="zh-CN"/>
        </w:rPr>
        <w:t>兵团农业技术推</w:t>
      </w:r>
      <w:r>
        <w:rPr>
          <w:rFonts w:hint="eastAsia" w:ascii="仿宋_GB2312" w:eastAsia="仿宋_GB2312" w:cs="Times New Roman"/>
          <w:bCs/>
          <w:sz w:val="32"/>
          <w:szCs w:val="32"/>
          <w:shd w:val="clear"/>
          <w:lang w:val="en-US" w:eastAsia="zh-CN"/>
        </w:rPr>
        <w:t>广总站、石河子大学等相关</w:t>
      </w:r>
      <w:r>
        <w:rPr>
          <w:rFonts w:hint="eastAsia" w:ascii="仿宋_GB2312" w:hAnsi="Times New Roman" w:eastAsia="仿宋_GB2312" w:cs="Times New Roman"/>
          <w:bCs/>
          <w:sz w:val="32"/>
          <w:szCs w:val="32"/>
          <w:shd w:val="clear"/>
          <w:lang w:val="en-US" w:eastAsia="zh-CN"/>
        </w:rPr>
        <w:t>单位的</w:t>
      </w:r>
      <w:r>
        <w:rPr>
          <w:rFonts w:hint="eastAsia" w:ascii="仿宋_GB2312" w:eastAsia="仿宋_GB2312" w:cs="Times New Roman"/>
          <w:bCs/>
          <w:sz w:val="32"/>
          <w:szCs w:val="32"/>
          <w:shd w:val="clear"/>
          <w:lang w:val="en-US" w:eastAsia="zh-CN"/>
        </w:rPr>
        <w:t>7</w:t>
      </w:r>
      <w:r>
        <w:rPr>
          <w:rFonts w:hint="eastAsia" w:ascii="仿宋_GB2312" w:hAnsi="Times New Roman" w:eastAsia="仿宋_GB2312" w:cs="Times New Roman"/>
          <w:bCs/>
          <w:sz w:val="32"/>
          <w:szCs w:val="32"/>
          <w:shd w:val="clear"/>
          <w:lang w:val="en-US" w:eastAsia="zh-CN"/>
        </w:rPr>
        <w:t>位专</w:t>
      </w:r>
      <w:r>
        <w:rPr>
          <w:rFonts w:hint="eastAsia" w:ascii="仿宋_GB2312" w:hAnsi="Times New Roman" w:eastAsia="仿宋_GB2312" w:cs="Times New Roman"/>
          <w:bCs/>
          <w:sz w:val="32"/>
          <w:szCs w:val="32"/>
          <w:lang w:val="en-US" w:eastAsia="zh-CN"/>
        </w:rPr>
        <w:t>家组成专家组，对新疆农垦科学院提出的《麦后大豆免耕精播种植技术规程（兵团范围）》地方标准送审稿进行审定。与会专家在认真审阅书面材料，听取标准起草组汇报、答疑的基础上，对标准逐章、逐条进行了审定，经过充分讨论和审议形成《麦后大豆免耕精播种植技术规程（兵团范围）》审定会会议纪要，根据会议纪要，起草组按照专家意见对标准进行修改和完善，待专家组组长确认后，形成报批稿，报新疆维吾尔自治区市场监督管理局批准、发布。</w:t>
      </w:r>
    </w:p>
    <w:p w14:paraId="3D45736E">
      <w:pPr>
        <w:ind w:firstLine="640" w:firstLineChars="200"/>
        <w:rPr>
          <w:rFonts w:hint="eastAsia" w:ascii="黑体" w:hAnsi="黑体" w:eastAsia="黑体" w:cs="黑体"/>
          <w:b/>
          <w:bCs/>
          <w:color w:val="FF0000"/>
          <w:sz w:val="32"/>
          <w:szCs w:val="32"/>
        </w:rPr>
      </w:pPr>
      <w:r>
        <w:rPr>
          <w:rFonts w:hint="eastAsia" w:ascii="黑体" w:hAnsi="黑体" w:eastAsia="黑体" w:cs="黑体"/>
          <w:b w:val="0"/>
          <w:bCs w:val="0"/>
          <w:sz w:val="32"/>
          <w:szCs w:val="32"/>
          <w:lang w:eastAsia="zh-CN"/>
        </w:rPr>
        <w:t>四、制定（修订）</w:t>
      </w:r>
      <w:r>
        <w:rPr>
          <w:rFonts w:hint="eastAsia" w:ascii="黑体" w:hAnsi="黑体" w:eastAsia="黑体" w:cs="黑体"/>
          <w:b w:val="0"/>
          <w:bCs w:val="0"/>
          <w:sz w:val="32"/>
          <w:szCs w:val="32"/>
        </w:rPr>
        <w:t>标准的原则和依据，与现行法律、法规、标准的关系</w:t>
      </w:r>
    </w:p>
    <w:p w14:paraId="27065841">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1、制定标准的原则（科学性、规范性、时效性等）</w:t>
      </w:r>
    </w:p>
    <w:p w14:paraId="0CC30628">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本标准根据GB/T 1.1《标准化工作导则第1部分：标准的结构和编写》的要求和规定编写本标准的内容，遵循标准制定过程中的科学性、先进性、经济性和适用性的原则。本标准制定过程中所采用的施肥量、灌水量以及关键时期的除草、</w:t>
      </w:r>
      <w:r>
        <w:rPr>
          <w:rFonts w:hint="eastAsia" w:ascii="仿宋_GB2312" w:eastAsia="仿宋_GB2312" w:cs="Times New Roman"/>
          <w:bCs/>
          <w:sz w:val="32"/>
          <w:szCs w:val="32"/>
          <w:lang w:val="en-US" w:eastAsia="zh-CN"/>
        </w:rPr>
        <w:t>化调</w:t>
      </w:r>
      <w:r>
        <w:rPr>
          <w:rFonts w:hint="eastAsia" w:ascii="仿宋_GB2312" w:hAnsi="Times New Roman" w:eastAsia="仿宋_GB2312" w:cs="Times New Roman"/>
          <w:bCs/>
          <w:sz w:val="32"/>
          <w:szCs w:val="32"/>
          <w:lang w:val="en-US" w:eastAsia="zh-CN"/>
        </w:rPr>
        <w:t>、虫害防治均通过试验数据和生产实践获得，可为标准内容的科学性提供有力保障。编制过程中收集和查阅了相关标准制定的文献资料，汇总、整理了</w:t>
      </w:r>
      <w:r>
        <w:rPr>
          <w:rFonts w:hint="eastAsia" w:ascii="仿宋_GB2312" w:eastAsia="仿宋_GB2312" w:cs="Times New Roman"/>
          <w:bCs/>
          <w:sz w:val="32"/>
          <w:szCs w:val="32"/>
          <w:lang w:val="en-US" w:eastAsia="zh-CN"/>
        </w:rPr>
        <w:t>复播</w:t>
      </w:r>
      <w:r>
        <w:rPr>
          <w:rFonts w:hint="eastAsia" w:ascii="仿宋_GB2312" w:hAnsi="Times New Roman" w:eastAsia="仿宋_GB2312" w:cs="Times New Roman"/>
          <w:bCs/>
          <w:sz w:val="32"/>
          <w:szCs w:val="32"/>
          <w:lang w:val="en-US" w:eastAsia="zh-CN"/>
        </w:rPr>
        <w:t>大豆生产中需水需肥的特点与成果，通过</w:t>
      </w:r>
      <w:r>
        <w:rPr>
          <w:rFonts w:hint="eastAsia" w:ascii="仿宋_GB2312" w:eastAsia="仿宋_GB2312" w:cs="Times New Roman"/>
          <w:bCs/>
          <w:sz w:val="32"/>
          <w:szCs w:val="32"/>
          <w:lang w:val="en-US" w:eastAsia="zh-CN"/>
        </w:rPr>
        <w:t>多年</w:t>
      </w:r>
      <w:r>
        <w:rPr>
          <w:rFonts w:hint="eastAsia" w:ascii="仿宋_GB2312" w:hAnsi="Times New Roman" w:eastAsia="仿宋_GB2312" w:cs="Times New Roman"/>
          <w:bCs/>
          <w:sz w:val="32"/>
          <w:szCs w:val="32"/>
          <w:lang w:val="en-US" w:eastAsia="zh-CN"/>
        </w:rPr>
        <w:t>、多点的试验、示范，对主要技术指标进行了验证，并进行了多次修改与校正，使本标准具有较强的适应性、科学性、实用性，做到技术可行，指标准确，标准内容通俗易懂，便于操作。</w:t>
      </w:r>
    </w:p>
    <w:p w14:paraId="3563433F">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2、制定标准的依据（依据的相关法律、法规、规章制度、基础标准、重要标准、参考文献等）</w:t>
      </w:r>
    </w:p>
    <w:p w14:paraId="714E84B1">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（1）根据农田灌溉水质标准（GB 5084），规定了滴灌的灌溉水质要求，同时对所采用的灌溉技术和灌溉量进行了要求；</w:t>
      </w:r>
    </w:p>
    <w:p w14:paraId="7DFA463A">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（2）本标准选用符合GB 4285农药安全使用标准要求的除草剂，于</w:t>
      </w:r>
      <w:r>
        <w:rPr>
          <w:rFonts w:hint="eastAsia" w:ascii="仿宋_GB2312" w:eastAsia="仿宋_GB2312" w:cs="Times New Roman"/>
          <w:bCs/>
          <w:sz w:val="32"/>
          <w:szCs w:val="32"/>
          <w:lang w:val="en-US" w:eastAsia="zh-CN"/>
        </w:rPr>
        <w:t>复播大豆苗期</w:t>
      </w:r>
      <w:r>
        <w:rPr>
          <w:rFonts w:hint="eastAsia" w:ascii="仿宋_GB2312" w:hAnsi="Times New Roman" w:eastAsia="仿宋_GB2312" w:cs="Times New Roman"/>
          <w:bCs/>
          <w:sz w:val="32"/>
          <w:szCs w:val="32"/>
          <w:lang w:val="en-US" w:eastAsia="zh-CN"/>
        </w:rPr>
        <w:t>直接喷雾；</w:t>
      </w:r>
    </w:p>
    <w:p w14:paraId="36AD354E">
      <w:pPr>
        <w:numPr>
          <w:ilvl w:val="0"/>
          <w:numId w:val="0"/>
        </w:numPr>
        <w:ind w:firstLine="640" w:firstLineChars="200"/>
        <w:rPr>
          <w:rFonts w:hint="eastAsia"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（3）本标准遵循安全施药技术规范（NY/T 1923、NY/T 1876、NY/T 1225）的要求，对田间病虫草害进行防控；</w:t>
      </w:r>
    </w:p>
    <w:p w14:paraId="78842661">
      <w:pPr>
        <w:numPr>
          <w:ilvl w:val="0"/>
          <w:numId w:val="0"/>
        </w:numPr>
        <w:ind w:firstLine="640" w:firstLineChars="200"/>
        <w:rPr>
          <w:rFonts w:hint="default" w:ascii="仿宋_GB2312" w:hAnsi="Times New Roman" w:eastAsia="仿宋_GB2312" w:cs="Times New Roman"/>
          <w:bCs/>
          <w:sz w:val="32"/>
          <w:szCs w:val="32"/>
          <w:lang w:val="en-US" w:eastAsia="zh-CN"/>
        </w:rPr>
      </w:pPr>
      <w:r>
        <w:rPr>
          <w:rFonts w:hint="eastAsia" w:ascii="仿宋_GB2312" w:hAnsi="Times New Roman" w:eastAsia="仿宋_GB2312" w:cs="Times New Roman"/>
          <w:bCs/>
          <w:sz w:val="32"/>
          <w:szCs w:val="32"/>
          <w:lang w:val="en-US" w:eastAsia="zh-CN"/>
        </w:rPr>
        <w:t>（4）本标准遵循GB4404.2《粮食作物种子》，规定了大豆种子选用符合标准、籽粒均匀饱满和粒型均匀一致的种子；</w:t>
      </w:r>
    </w:p>
    <w:p w14:paraId="0B9FA459">
      <w:pPr>
        <w:numPr>
          <w:ilvl w:val="0"/>
          <w:numId w:val="0"/>
        </w:numPr>
        <w:ind w:left="0" w:leftChars="0" w:firstLine="640" w:firstLineChars="200"/>
        <w:rPr>
          <w:rFonts w:hint="eastAsia" w:ascii="仿宋_GB2312" w:eastAsia="仿宋_GB2312"/>
          <w:color w:val="auto"/>
          <w:sz w:val="32"/>
          <w:szCs w:val="32"/>
          <w:lang w:val="en-US" w:eastAsia="zh-CN"/>
        </w:rPr>
      </w:pPr>
      <w:r>
        <w:rPr>
          <w:rFonts w:hint="eastAsia" w:ascii="仿宋_GB2312" w:eastAsia="仿宋_GB2312"/>
          <w:color w:val="auto"/>
          <w:kern w:val="2"/>
          <w:sz w:val="32"/>
          <w:szCs w:val="32"/>
          <w:lang w:val="en-US" w:eastAsia="zh-CN" w:bidi="ar-SA"/>
        </w:rPr>
        <w:t>3、</w:t>
      </w:r>
      <w:r>
        <w:rPr>
          <w:rFonts w:hint="eastAsia" w:ascii="仿宋_GB2312" w:eastAsia="仿宋_GB2312"/>
          <w:color w:val="auto"/>
          <w:sz w:val="32"/>
          <w:szCs w:val="32"/>
          <w:lang w:val="en-US" w:eastAsia="zh-CN"/>
        </w:rPr>
        <w:t>与现行法律、法规、标准的关系</w:t>
      </w:r>
    </w:p>
    <w:p w14:paraId="28A093E8">
      <w:pPr>
        <w:widowControl w:val="0"/>
        <w:numPr>
          <w:ilvl w:val="0"/>
          <w:numId w:val="0"/>
        </w:numPr>
        <w:ind w:firstLine="640" w:firstLineChars="200"/>
        <w:jc w:val="both"/>
        <w:rPr>
          <w:rFonts w:hint="eastAsia" w:ascii="仿宋_GB2312" w:eastAsia="仿宋_GB2312"/>
          <w:color w:val="auto"/>
          <w:sz w:val="32"/>
          <w:szCs w:val="32"/>
          <w:lang w:val="en-US" w:eastAsia="zh-CN"/>
        </w:rPr>
      </w:pPr>
      <w:r>
        <w:rPr>
          <w:rFonts w:ascii="Times New Roman" w:hAnsi="Times New Roman" w:eastAsia="仿宋" w:cs="Times New Roman"/>
          <w:bCs/>
          <w:sz w:val="32"/>
          <w:szCs w:val="32"/>
          <w:lang w:eastAsia="zh-CN"/>
        </w:rPr>
        <w:t>本标准依据现行的法律、法规和标准制定，各项内容与其没有冲突。</w:t>
      </w:r>
    </w:p>
    <w:p w14:paraId="554F2856">
      <w:pPr>
        <w:ind w:firstLine="640" w:firstLineChars="200"/>
        <w:rPr>
          <w:rFonts w:hint="eastAsia" w:ascii="仿宋_GB2312" w:eastAsia="仿宋_GB2312"/>
          <w:sz w:val="28"/>
        </w:rPr>
      </w:pPr>
      <w:r>
        <w:rPr>
          <w:rFonts w:hint="eastAsia" w:ascii="黑体" w:hAnsi="黑体" w:eastAsia="黑体" w:cs="黑体"/>
          <w:b w:val="0"/>
          <w:bCs w:val="0"/>
          <w:sz w:val="32"/>
          <w:szCs w:val="32"/>
          <w:lang w:eastAsia="zh-CN"/>
        </w:rPr>
        <w:t xml:space="preserve">五、主要条款的说明 </w:t>
      </w:r>
      <w:r>
        <w:rPr>
          <w:rFonts w:hint="eastAsia" w:ascii="仿宋_GB2312" w:eastAsia="仿宋_GB2312"/>
          <w:b w:val="0"/>
          <w:bCs w:val="0"/>
          <w:color w:val="FF0000"/>
          <w:sz w:val="28"/>
        </w:rPr>
        <w:t xml:space="preserve"> </w:t>
      </w:r>
    </w:p>
    <w:p w14:paraId="517A6C91">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1. 新疆复播大豆品种选择：按当地生态类型及市场需求，因地制宜地选择通过审定的耐密、秆强、抗倒、丰产性突出的主导品种，品种熟期要严格按照品种区域布局规划要求选择，坚决杜绝跨区种植。应用清选机精选种子，要求纯度大于99%，净度大于98%，发芽率大于95%，水分小于13.5%，粒型均匀一致。超早熟大豆，生育期在90天，主茎12～14节，单株15～20荚、30～45粒，单株2.5～3粒荚占总荚数的65.8%，百粒重17～20g。</w:t>
      </w:r>
    </w:p>
    <w:p w14:paraId="60A3DBAD">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2.理论保苗株数：大豆保苗40000～45000株/亩，收获株数35000～40000株/亩。</w:t>
      </w:r>
    </w:p>
    <w:p w14:paraId="092F765C">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3.灌水量：全生育期灌量为150-200 m3/亩，滴水次数为4～5 次。</w:t>
      </w:r>
    </w:p>
    <w:p w14:paraId="37A379FE">
      <w:pPr>
        <w:ind w:firstLine="640" w:firstLineChars="200"/>
        <w:rPr>
          <w:rFonts w:hint="eastAsia" w:ascii="仿宋_GB2312" w:eastAsia="仿宋_GB2312"/>
          <w:color w:val="auto"/>
          <w:sz w:val="32"/>
          <w:szCs w:val="32"/>
        </w:rPr>
      </w:pPr>
      <w:r>
        <w:rPr>
          <w:rFonts w:hint="eastAsia" w:ascii="仿宋_GB2312" w:eastAsia="仿宋_GB2312"/>
          <w:color w:val="auto"/>
          <w:sz w:val="32"/>
          <w:szCs w:val="32"/>
        </w:rPr>
        <w:t>该标准在广泛的田间调研、小区试验和多年高产创建示范结果条件下完成，和常规技术相比，应用标准技术可</w:t>
      </w:r>
      <w:r>
        <w:rPr>
          <w:rFonts w:hint="eastAsia" w:ascii="仿宋_GB2312" w:eastAsia="仿宋_GB2312"/>
          <w:color w:val="auto"/>
          <w:sz w:val="32"/>
          <w:szCs w:val="32"/>
          <w:lang w:val="en-US" w:eastAsia="zh-CN"/>
        </w:rPr>
        <w:t>使大豆</w:t>
      </w:r>
      <w:r>
        <w:rPr>
          <w:rFonts w:hint="eastAsia" w:ascii="仿宋_GB2312" w:eastAsia="仿宋_GB2312"/>
          <w:color w:val="auto"/>
          <w:sz w:val="32"/>
          <w:szCs w:val="32"/>
        </w:rPr>
        <w:t>增产15%以上，水分、肥料利用率提高15%以上，亩增收节支300元以上，同时大豆大量的根茬、落叶及收获时的秸秆全量还田且覆盖在耕层表面，可有效提高土壤质量提升土壤疏松度，提高土壤蓄水保墒能力，土壤肥力不断提高，为下茬作物提质增效打下坚实基础。</w:t>
      </w:r>
    </w:p>
    <w:p w14:paraId="4A52033B">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eastAsia="zh-CN"/>
        </w:rPr>
        <w:t>六、重大意见分歧的处理依据和结果</w:t>
      </w:r>
    </w:p>
    <w:p w14:paraId="4E30FA92">
      <w:pPr>
        <w:ind w:firstLine="640" w:firstLineChars="200"/>
        <w:rPr>
          <w:rFonts w:hint="eastAsia" w:ascii="仿宋_GB2312" w:eastAsia="仿宋_GB2312"/>
          <w:sz w:val="32"/>
          <w:szCs w:val="32"/>
          <w:lang w:eastAsia="zh-CN"/>
        </w:rPr>
      </w:pPr>
      <w:r>
        <w:rPr>
          <w:rFonts w:hint="eastAsia" w:ascii="仿宋_GB2312" w:eastAsia="仿宋_GB2312"/>
          <w:sz w:val="32"/>
          <w:szCs w:val="32"/>
        </w:rPr>
        <w:t>2024年</w:t>
      </w:r>
      <w:r>
        <w:rPr>
          <w:rFonts w:hint="eastAsia" w:ascii="仿宋_GB2312" w:eastAsia="仿宋_GB2312"/>
          <w:sz w:val="32"/>
          <w:szCs w:val="32"/>
          <w:lang w:val="en-US" w:eastAsia="zh-CN"/>
        </w:rPr>
        <w:t>10</w:t>
      </w:r>
      <w:r>
        <w:rPr>
          <w:rFonts w:hint="eastAsia" w:ascii="仿宋_GB2312" w:eastAsia="仿宋_GB2312"/>
          <w:sz w:val="32"/>
          <w:szCs w:val="32"/>
        </w:rPr>
        <w:t>月5日-</w:t>
      </w:r>
      <w:r>
        <w:rPr>
          <w:rFonts w:hint="eastAsia" w:ascii="仿宋_GB2312" w:eastAsia="仿宋_GB2312"/>
          <w:sz w:val="32"/>
          <w:szCs w:val="32"/>
          <w:lang w:val="en-US" w:eastAsia="zh-CN"/>
        </w:rPr>
        <w:t>10</w:t>
      </w:r>
      <w:r>
        <w:rPr>
          <w:rFonts w:hint="eastAsia" w:ascii="仿宋_GB2312" w:eastAsia="仿宋_GB2312"/>
          <w:sz w:val="32"/>
          <w:szCs w:val="32"/>
        </w:rPr>
        <w:t>月</w:t>
      </w:r>
      <w:r>
        <w:rPr>
          <w:rFonts w:hint="eastAsia" w:ascii="仿宋_GB2312" w:eastAsia="仿宋_GB2312"/>
          <w:sz w:val="32"/>
          <w:szCs w:val="32"/>
          <w:lang w:val="en-US" w:eastAsia="zh-CN"/>
        </w:rPr>
        <w:t>15</w:t>
      </w:r>
      <w:r>
        <w:rPr>
          <w:rFonts w:hint="eastAsia" w:ascii="仿宋_GB2312" w:eastAsia="仿宋_GB2312"/>
          <w:sz w:val="32"/>
          <w:szCs w:val="32"/>
        </w:rPr>
        <w:t>日广泛征求了新疆生产建设兵团农业农村局（行业主管）、新疆生产建设兵团农业技术推广总站（行业主管）、新疆生产建设</w:t>
      </w:r>
      <w:r>
        <w:rPr>
          <w:rFonts w:hint="eastAsia" w:ascii="仿宋_GB2312" w:eastAsia="仿宋_GB2312"/>
          <w:sz w:val="32"/>
          <w:szCs w:val="32"/>
          <w:lang w:val="en-US" w:eastAsia="zh-CN"/>
        </w:rPr>
        <w:t>第一师农业农村局</w:t>
      </w:r>
      <w:r>
        <w:rPr>
          <w:rFonts w:hint="eastAsia" w:ascii="仿宋_GB2312" w:eastAsia="仿宋_GB2312"/>
          <w:sz w:val="32"/>
          <w:szCs w:val="32"/>
        </w:rPr>
        <w:t>（使用）、第三师农业科学研究所（使用）、第七师农业</w:t>
      </w:r>
      <w:r>
        <w:rPr>
          <w:rFonts w:hint="eastAsia" w:ascii="仿宋_GB2312" w:eastAsia="仿宋_GB2312"/>
          <w:sz w:val="32"/>
          <w:szCs w:val="32"/>
          <w:lang w:val="en-US" w:eastAsia="zh-CN"/>
        </w:rPr>
        <w:t>发展服务中心</w:t>
      </w:r>
      <w:r>
        <w:rPr>
          <w:rFonts w:hint="eastAsia" w:ascii="仿宋_GB2312" w:eastAsia="仿宋_GB2312"/>
          <w:sz w:val="32"/>
          <w:szCs w:val="32"/>
        </w:rPr>
        <w:t>（使用）、</w:t>
      </w:r>
      <w:r>
        <w:rPr>
          <w:rFonts w:hint="eastAsia" w:ascii="仿宋_GB2312" w:eastAsia="仿宋_GB2312"/>
          <w:sz w:val="32"/>
          <w:szCs w:val="32"/>
          <w:lang w:val="en-US" w:eastAsia="zh-CN"/>
        </w:rPr>
        <w:t>新疆生产建设兵团第八师农业农村局（使用）、新疆西域绿洲种业有限公司</w:t>
      </w:r>
      <w:r>
        <w:rPr>
          <w:rFonts w:hint="eastAsia" w:ascii="仿宋_GB2312" w:eastAsia="仿宋_GB2312"/>
          <w:sz w:val="32"/>
          <w:szCs w:val="32"/>
        </w:rPr>
        <w:t>（龙头企业）等部门和单位的意见，相关领域专家对本标准部分文字、格式等略作改动，无重大意见分歧。</w:t>
      </w:r>
    </w:p>
    <w:p w14:paraId="7B1E63F5">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val="en-US" w:eastAsia="zh-CN"/>
        </w:rPr>
        <w:t>七</w:t>
      </w:r>
      <w:r>
        <w:rPr>
          <w:rFonts w:hint="eastAsia" w:ascii="黑体" w:hAnsi="黑体" w:eastAsia="黑体" w:cs="黑体"/>
          <w:b w:val="0"/>
          <w:bCs w:val="0"/>
          <w:sz w:val="32"/>
          <w:szCs w:val="32"/>
          <w:lang w:eastAsia="zh-CN"/>
        </w:rPr>
        <w:t>、作为推荐性或强制性标准的建议及其理由</w:t>
      </w:r>
    </w:p>
    <w:p w14:paraId="3BDA673A">
      <w:pPr>
        <w:ind w:firstLine="640" w:firstLineChars="200"/>
        <w:rPr>
          <w:rFonts w:hint="eastAsia" w:ascii="仿宋_GB2312" w:hAnsi="Times New Roman" w:eastAsia="仿宋_GB2312" w:cs="Times New Roman"/>
          <w:bCs/>
          <w:sz w:val="32"/>
          <w:szCs w:val="32"/>
        </w:rPr>
      </w:pPr>
      <w:r>
        <w:rPr>
          <w:rFonts w:hint="eastAsia" w:ascii="仿宋_GB2312" w:hAnsi="Times New Roman" w:eastAsia="仿宋_GB2312" w:cs="Times New Roman"/>
          <w:bCs/>
          <w:sz w:val="32"/>
          <w:szCs w:val="32"/>
        </w:rPr>
        <w:t>建议《麦后大豆免耕精播种植技术规程（兵团范围）》作为推荐性标准发布实施。</w:t>
      </w:r>
    </w:p>
    <w:p w14:paraId="57669935">
      <w:pPr>
        <w:ind w:firstLine="640" w:firstLineChars="200"/>
        <w:rPr>
          <w:rFonts w:hint="eastAsia" w:ascii="仿宋_GB2312" w:eastAsia="仿宋_GB2312"/>
          <w:sz w:val="32"/>
          <w:szCs w:val="32"/>
        </w:rPr>
      </w:pPr>
      <w:r>
        <w:rPr>
          <w:rFonts w:hint="eastAsia" w:ascii="黑体" w:hAnsi="黑体" w:eastAsia="黑体" w:cs="黑体"/>
          <w:b w:val="0"/>
          <w:bCs w:val="0"/>
          <w:sz w:val="32"/>
          <w:szCs w:val="32"/>
          <w:lang w:val="en-US" w:eastAsia="zh-CN"/>
        </w:rPr>
        <w:t>八</w:t>
      </w:r>
      <w:r>
        <w:rPr>
          <w:rFonts w:hint="eastAsia" w:ascii="黑体" w:hAnsi="黑体" w:eastAsia="黑体" w:cs="黑体"/>
          <w:b w:val="0"/>
          <w:bCs w:val="0"/>
          <w:sz w:val="32"/>
          <w:szCs w:val="32"/>
          <w:lang w:eastAsia="zh-CN"/>
        </w:rPr>
        <w:t>、贯彻标准的措施建议</w:t>
      </w:r>
    </w:p>
    <w:p w14:paraId="6F4FD699">
      <w:pPr>
        <w:ind w:firstLine="640" w:firstLineChars="200"/>
        <w:rPr>
          <w:rFonts w:hint="eastAsia" w:ascii="仿宋_GB2312" w:eastAsia="仿宋_GB2312"/>
          <w:sz w:val="32"/>
          <w:szCs w:val="32"/>
        </w:rPr>
      </w:pPr>
      <w:r>
        <w:rPr>
          <w:rFonts w:hint="eastAsia" w:ascii="仿宋_GB2312" w:eastAsia="仿宋_GB2312"/>
          <w:sz w:val="32"/>
          <w:szCs w:val="32"/>
        </w:rPr>
        <w:t>一是充分利用广播、电视、互联网等媒体，加大宣传力度，让广大</w:t>
      </w:r>
      <w:r>
        <w:rPr>
          <w:rFonts w:hint="eastAsia" w:ascii="仿宋_GB2312" w:eastAsia="仿宋_GB2312"/>
          <w:sz w:val="32"/>
          <w:szCs w:val="32"/>
          <w:lang w:val="en-US" w:eastAsia="zh-CN"/>
        </w:rPr>
        <w:t>大豆种植户</w:t>
      </w:r>
      <w:r>
        <w:rPr>
          <w:rFonts w:hint="eastAsia" w:ascii="仿宋_GB2312" w:eastAsia="仿宋_GB2312"/>
          <w:sz w:val="32"/>
          <w:szCs w:val="32"/>
        </w:rPr>
        <w:t>了解和掌握标准内容，认识到科学</w:t>
      </w:r>
      <w:r>
        <w:rPr>
          <w:rFonts w:hint="eastAsia" w:ascii="仿宋_GB2312" w:eastAsia="仿宋_GB2312"/>
          <w:sz w:val="32"/>
          <w:szCs w:val="32"/>
          <w:lang w:val="en-US" w:eastAsia="zh-CN"/>
        </w:rPr>
        <w:t>种植</w:t>
      </w:r>
      <w:r>
        <w:rPr>
          <w:rFonts w:hint="eastAsia" w:ascii="仿宋_GB2312" w:eastAsia="仿宋_GB2312"/>
          <w:sz w:val="32"/>
          <w:szCs w:val="32"/>
        </w:rPr>
        <w:t>以及规范化操作对保证和提高</w:t>
      </w:r>
      <w:r>
        <w:rPr>
          <w:rFonts w:hint="eastAsia" w:ascii="仿宋_GB2312" w:eastAsia="仿宋_GB2312"/>
          <w:sz w:val="32"/>
          <w:szCs w:val="32"/>
          <w:lang w:val="en-US" w:eastAsia="zh-CN"/>
        </w:rPr>
        <w:t>大豆产量</w:t>
      </w:r>
      <w:r>
        <w:rPr>
          <w:rFonts w:hint="eastAsia" w:ascii="仿宋_GB2312" w:eastAsia="仿宋_GB2312"/>
          <w:sz w:val="32"/>
          <w:szCs w:val="32"/>
        </w:rPr>
        <w:t>的重要性。二是</w:t>
      </w:r>
      <w:r>
        <w:rPr>
          <w:rFonts w:hint="eastAsia" w:ascii="仿宋_GB2312" w:eastAsia="仿宋_GB2312"/>
          <w:sz w:val="32"/>
          <w:szCs w:val="32"/>
          <w:lang w:val="en-US" w:eastAsia="zh-CN"/>
        </w:rPr>
        <w:t>制作</w:t>
      </w:r>
      <w:r>
        <w:rPr>
          <w:rFonts w:hint="eastAsia" w:ascii="仿宋_GB2312" w:eastAsia="仿宋_GB2312"/>
          <w:sz w:val="32"/>
          <w:szCs w:val="32"/>
        </w:rPr>
        <w:t>《麦后大豆免耕精播种植技术规程（兵团范围）》科普</w:t>
      </w:r>
      <w:r>
        <w:rPr>
          <w:rFonts w:hint="eastAsia" w:ascii="仿宋_GB2312" w:eastAsia="仿宋_GB2312"/>
          <w:sz w:val="32"/>
          <w:szCs w:val="32"/>
          <w:lang w:val="en-US" w:eastAsia="zh-CN"/>
        </w:rPr>
        <w:t>视频及科普图册</w:t>
      </w:r>
      <w:r>
        <w:rPr>
          <w:rFonts w:hint="eastAsia" w:ascii="仿宋_GB2312" w:eastAsia="仿宋_GB2312"/>
          <w:sz w:val="32"/>
          <w:szCs w:val="32"/>
        </w:rPr>
        <w:t>，以通俗易懂的文字、图表</w:t>
      </w:r>
      <w:r>
        <w:rPr>
          <w:rFonts w:hint="eastAsia" w:ascii="仿宋_GB2312" w:eastAsia="仿宋_GB2312"/>
          <w:sz w:val="32"/>
          <w:szCs w:val="32"/>
          <w:lang w:eastAsia="zh-CN"/>
        </w:rPr>
        <w:t>、</w:t>
      </w:r>
      <w:r>
        <w:rPr>
          <w:rFonts w:hint="eastAsia" w:ascii="仿宋_GB2312" w:eastAsia="仿宋_GB2312"/>
          <w:sz w:val="32"/>
          <w:szCs w:val="32"/>
          <w:lang w:val="en-US" w:eastAsia="zh-CN"/>
        </w:rPr>
        <w:t>视频</w:t>
      </w:r>
      <w:r>
        <w:rPr>
          <w:rFonts w:hint="eastAsia" w:ascii="仿宋_GB2312" w:eastAsia="仿宋_GB2312"/>
          <w:sz w:val="32"/>
          <w:szCs w:val="32"/>
        </w:rPr>
        <w:t>为主的表现形式,有条理、有重点的介绍标准技术内容，指导</w:t>
      </w:r>
      <w:r>
        <w:rPr>
          <w:rFonts w:hint="eastAsia" w:ascii="仿宋_GB2312" w:eastAsia="仿宋_GB2312"/>
          <w:sz w:val="32"/>
          <w:szCs w:val="32"/>
          <w:lang w:val="en-US" w:eastAsia="zh-CN"/>
        </w:rPr>
        <w:t>大豆种植户合理水肥投入、适期化控、提前病虫害防治，</w:t>
      </w:r>
      <w:r>
        <w:rPr>
          <w:rFonts w:hint="eastAsia" w:ascii="仿宋_GB2312" w:eastAsia="仿宋_GB2312"/>
          <w:sz w:val="32"/>
          <w:szCs w:val="32"/>
        </w:rPr>
        <w:t>有效提高肥料利用率，减少化肥</w:t>
      </w:r>
      <w:r>
        <w:rPr>
          <w:rFonts w:hint="eastAsia" w:ascii="仿宋_GB2312" w:eastAsia="仿宋_GB2312"/>
          <w:sz w:val="32"/>
          <w:szCs w:val="32"/>
          <w:lang w:val="en-US" w:eastAsia="zh-CN"/>
        </w:rPr>
        <w:t>农药</w:t>
      </w:r>
      <w:r>
        <w:rPr>
          <w:rFonts w:hint="eastAsia" w:ascii="仿宋_GB2312" w:eastAsia="仿宋_GB2312"/>
          <w:sz w:val="32"/>
          <w:szCs w:val="32"/>
        </w:rPr>
        <w:t>施用，提高应用技术水平。三是广泛开展技术培训，利用各地冬季农民培训会以及春季农业农村系统、推广系统组织召开的行业会议、现场观摩会等多场合宣贯标准，就标准的关键技术应用以及为什么要标准化操作进行讲解，促进思想认识和技术到位率的不断提高，扩大使用范围，使之对</w:t>
      </w:r>
      <w:r>
        <w:rPr>
          <w:rFonts w:hint="eastAsia" w:ascii="仿宋_GB2312" w:eastAsia="仿宋_GB2312"/>
          <w:sz w:val="32"/>
          <w:szCs w:val="32"/>
          <w:lang w:val="en-US" w:eastAsia="zh-CN"/>
        </w:rPr>
        <w:t>大豆</w:t>
      </w:r>
      <w:r>
        <w:rPr>
          <w:rFonts w:hint="eastAsia" w:ascii="仿宋_GB2312" w:eastAsia="仿宋_GB2312"/>
          <w:sz w:val="32"/>
          <w:szCs w:val="32"/>
        </w:rPr>
        <w:t>生产发挥较大的技术作用。</w:t>
      </w:r>
    </w:p>
    <w:p w14:paraId="4A8E7E84">
      <w:pPr>
        <w:ind w:firstLine="640" w:firstLineChars="200"/>
        <w:rPr>
          <w:rFonts w:hint="eastAsia" w:ascii="黑体" w:eastAsia="黑体"/>
          <w:sz w:val="32"/>
          <w:szCs w:val="32"/>
        </w:rPr>
      </w:pPr>
      <w:r>
        <w:rPr>
          <w:rFonts w:hint="eastAsia" w:ascii="黑体" w:hAnsi="黑体" w:eastAsia="黑体" w:cs="黑体"/>
          <w:b w:val="0"/>
          <w:bCs w:val="0"/>
          <w:sz w:val="32"/>
          <w:szCs w:val="32"/>
          <w:lang w:val="en-US" w:eastAsia="zh-CN"/>
        </w:rPr>
        <w:t>九</w:t>
      </w:r>
      <w:r>
        <w:rPr>
          <w:rFonts w:hint="eastAsia" w:ascii="黑体" w:hAnsi="黑体" w:eastAsia="黑体" w:cs="黑体"/>
          <w:b w:val="0"/>
          <w:bCs w:val="0"/>
          <w:sz w:val="32"/>
          <w:szCs w:val="32"/>
          <w:lang w:eastAsia="zh-CN"/>
        </w:rPr>
        <w:t>、其他应说明的事项</w:t>
      </w:r>
    </w:p>
    <w:p w14:paraId="0D19A7E0">
      <w:pPr>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无。</w:t>
      </w:r>
    </w:p>
    <w:p w14:paraId="511C91D9">
      <w:pPr>
        <w:ind w:firstLine="640" w:firstLineChars="200"/>
        <w:rPr>
          <w:rFonts w:hint="eastAsia" w:ascii="仿宋_GB2312" w:hAnsi="Times New Roman" w:eastAsia="仿宋_GB2312" w:cs="Times New Roman"/>
          <w:sz w:val="32"/>
          <w:szCs w:val="32"/>
          <w:lang w:val="en-US" w:eastAsia="zh-CN"/>
        </w:rPr>
      </w:pPr>
    </w:p>
    <w:p w14:paraId="01F01869">
      <w:pPr>
        <w:ind w:firstLine="2240" w:firstLineChars="7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《麦后大豆免耕精播种植技术规程（兵团范围）》</w:t>
      </w:r>
    </w:p>
    <w:p w14:paraId="5B42A93D">
      <w:pPr>
        <w:ind w:firstLine="4800" w:firstLineChars="15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标准起草小组</w:t>
      </w:r>
    </w:p>
    <w:p w14:paraId="276380F9">
      <w:pPr>
        <w:ind w:firstLine="4480" w:firstLineChars="1400"/>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二零二四年十月</w:t>
      </w:r>
    </w:p>
    <w:p w14:paraId="49BF28A3">
      <w:pPr>
        <w:ind w:firstLine="640" w:firstLineChars="200"/>
        <w:rPr>
          <w:rFonts w:hint="eastAsia" w:ascii="仿宋_GB2312" w:hAnsi="Times New Roman" w:eastAsia="仿宋_GB2312" w:cs="Times New Roman"/>
          <w:sz w:val="32"/>
          <w:szCs w:val="32"/>
          <w:lang w:val="en-US" w:eastAsia="zh-CN"/>
        </w:rPr>
      </w:pPr>
    </w:p>
    <w:p w14:paraId="4DCFFE29">
      <w:pPr>
        <w:ind w:firstLine="640" w:firstLineChars="200"/>
        <w:rPr>
          <w:rFonts w:hint="eastAsia" w:ascii="仿宋_GB2312" w:hAnsi="Times New Roman" w:eastAsia="仿宋_GB2312" w:cs="Times New Roman"/>
          <w:sz w:val="32"/>
          <w:szCs w:val="32"/>
          <w:lang w:val="en-US" w:eastAsia="zh-CN"/>
        </w:rPr>
      </w:pPr>
    </w:p>
    <w:p w14:paraId="6F4A7CAF">
      <w:pPr>
        <w:ind w:firstLine="640" w:firstLineChars="200"/>
        <w:rPr>
          <w:rFonts w:hint="default" w:ascii="仿宋_GB2312" w:hAnsi="Times New Roman" w:eastAsia="仿宋_GB2312" w:cs="Times New Roman"/>
          <w:sz w:val="32"/>
          <w:szCs w:val="32"/>
          <w:lang w:val="en-US" w:eastAsia="zh-CN"/>
        </w:rPr>
      </w:pPr>
    </w:p>
    <w:p w14:paraId="07D63A92">
      <w:pPr>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附录</w:t>
      </w:r>
    </w:p>
    <w:tbl>
      <w:tblPr>
        <w:tblStyle w:val="6"/>
        <w:tblW w:w="93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6"/>
        <w:gridCol w:w="1566"/>
        <w:gridCol w:w="1566"/>
        <w:gridCol w:w="1566"/>
        <w:gridCol w:w="1566"/>
        <w:gridCol w:w="1566"/>
      </w:tblGrid>
      <w:tr w14:paraId="70927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566" w:type="dxa"/>
            <w:noWrap w:val="0"/>
            <w:vAlign w:val="top"/>
          </w:tcPr>
          <w:p w14:paraId="3AF3BBB4">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序号</w:t>
            </w:r>
          </w:p>
        </w:tc>
        <w:tc>
          <w:tcPr>
            <w:tcW w:w="1566" w:type="dxa"/>
            <w:noWrap w:val="0"/>
            <w:vAlign w:val="top"/>
          </w:tcPr>
          <w:p w14:paraId="62630CA9">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标准章条编号</w:t>
            </w:r>
          </w:p>
        </w:tc>
        <w:tc>
          <w:tcPr>
            <w:tcW w:w="1566" w:type="dxa"/>
            <w:noWrap w:val="0"/>
            <w:vAlign w:val="top"/>
          </w:tcPr>
          <w:p w14:paraId="23CE6CB7">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反馈意见</w:t>
            </w:r>
          </w:p>
        </w:tc>
        <w:tc>
          <w:tcPr>
            <w:tcW w:w="1566" w:type="dxa"/>
            <w:noWrap w:val="0"/>
            <w:vAlign w:val="top"/>
          </w:tcPr>
          <w:p w14:paraId="021B58C0">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提出单位</w:t>
            </w:r>
          </w:p>
        </w:tc>
        <w:tc>
          <w:tcPr>
            <w:tcW w:w="1566" w:type="dxa"/>
            <w:noWrap w:val="0"/>
            <w:vAlign w:val="top"/>
          </w:tcPr>
          <w:p w14:paraId="0EA97DAB">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处理意见</w:t>
            </w:r>
          </w:p>
        </w:tc>
        <w:tc>
          <w:tcPr>
            <w:tcW w:w="1566" w:type="dxa"/>
            <w:noWrap w:val="0"/>
            <w:vAlign w:val="top"/>
          </w:tcPr>
          <w:p w14:paraId="648F338A">
            <w:pPr>
              <w:jc w:val="center"/>
              <w:rPr>
                <w:rFonts w:hint="default" w:ascii="仿宋_GB2312" w:hAnsi="Times New Roman" w:eastAsia="仿宋_GB2312" w:cs="Times New Roman"/>
                <w:sz w:val="30"/>
                <w:szCs w:val="30"/>
                <w:lang w:val="en-US" w:eastAsia="zh-CN"/>
              </w:rPr>
            </w:pPr>
            <w:r>
              <w:rPr>
                <w:rFonts w:hint="eastAsia" w:ascii="仿宋_GB2312" w:hAnsi="Times New Roman" w:eastAsia="仿宋_GB2312" w:cs="Times New Roman"/>
                <w:sz w:val="30"/>
                <w:szCs w:val="30"/>
                <w:lang w:val="en-US" w:eastAsia="zh-CN"/>
              </w:rPr>
              <w:t>不采纳原因</w:t>
            </w:r>
          </w:p>
        </w:tc>
      </w:tr>
    </w:tbl>
    <w:p w14:paraId="38EACB25">
      <w:pPr>
        <w:ind w:firstLine="640" w:firstLineChars="200"/>
        <w:rPr>
          <w:rFonts w:hint="eastAsia" w:ascii="黑体" w:eastAsia="黑体"/>
          <w:sz w:val="32"/>
          <w:szCs w:val="32"/>
          <w:lang w:val="en-US" w:eastAsia="zh-CN"/>
        </w:rPr>
      </w:pPr>
    </w:p>
    <w:p w14:paraId="0A1A09A1">
      <w:pPr>
        <w:ind w:firstLine="640" w:firstLineChars="200"/>
        <w:rPr>
          <w:rFonts w:hint="eastAsia" w:ascii="黑体" w:eastAsia="黑体"/>
          <w:sz w:val="32"/>
          <w:szCs w:val="32"/>
        </w:rPr>
      </w:pPr>
    </w:p>
    <w:p w14:paraId="06C7F777">
      <w:pPr>
        <w:ind w:firstLine="640" w:firstLineChars="200"/>
        <w:rPr>
          <w:rFonts w:hint="eastAsia" w:ascii="仿宋_GB2312" w:eastAsia="仿宋_GB2312"/>
          <w:sz w:val="32"/>
          <w:szCs w:val="32"/>
        </w:rPr>
      </w:pPr>
    </w:p>
    <w:sectPr>
      <w:footerReference r:id="rId3" w:type="default"/>
      <w:footerReference r:id="rId4" w:type="even"/>
      <w:pgSz w:w="11906" w:h="16838"/>
      <w:pgMar w:top="1701" w:right="1474" w:bottom="1418" w:left="1588" w:header="851" w:footer="992"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E783A01-85EA-4536-BE3C-4C26A4D245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99DC23E5-E57D-439E-876F-0E3BCBC58D6F}"/>
  </w:font>
  <w:font w:name="仿宋_GB2312">
    <w:altName w:val="仿宋"/>
    <w:panose1 w:val="02010609030101010101"/>
    <w:charset w:val="86"/>
    <w:family w:val="modern"/>
    <w:pitch w:val="default"/>
    <w:sig w:usb0="00000000" w:usb1="00000000" w:usb2="00000000" w:usb3="00000000" w:csb0="00040000" w:csb1="00000000"/>
    <w:embedRegular r:id="rId3" w:fontKey="{849743CB-ED9C-48A3-813D-7C322AE687F5}"/>
  </w:font>
  <w:font w:name="楷体_GB2312">
    <w:altName w:val="楷体"/>
    <w:panose1 w:val="02010609030101010101"/>
    <w:charset w:val="86"/>
    <w:family w:val="modern"/>
    <w:pitch w:val="default"/>
    <w:sig w:usb0="00000000" w:usb1="00000000" w:usb2="00000000" w:usb3="00000000" w:csb0="00040000" w:csb1="00000000"/>
    <w:embedRegular r:id="rId4" w:fontKey="{521511E4-0C76-4D6D-9836-FBD7EE6E7E7D}"/>
  </w:font>
  <w:font w:name="仿宋">
    <w:panose1 w:val="02010609060101010101"/>
    <w:charset w:val="86"/>
    <w:family w:val="modern"/>
    <w:pitch w:val="default"/>
    <w:sig w:usb0="800002BF" w:usb1="38CF7CFA" w:usb2="00000016" w:usb3="00000000" w:csb0="00040001" w:csb1="00000000"/>
    <w:embedRegular r:id="rId5" w:fontKey="{C5122D10-C28D-451B-AAB7-EDC47D2E91D8}"/>
  </w:font>
  <w:font w:name="方正仿宋_GB2312">
    <w:panose1 w:val="02000000000000000000"/>
    <w:charset w:val="86"/>
    <w:family w:val="auto"/>
    <w:pitch w:val="default"/>
    <w:sig w:usb0="A00002BF" w:usb1="184F6CFA" w:usb2="00000012" w:usb3="00000000" w:csb0="00040001" w:csb1="00000000"/>
    <w:embedRegular r:id="rId6" w:fontKey="{0BD3BAD4-5D4F-4985-BE7B-CE3EBB9BFA8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ED1B9">
    <w:pPr>
      <w:pStyle w:val="3"/>
      <w:framePr w:wrap="around" w:vAnchor="text" w:hAnchor="margin" w:xAlign="right" w:y="1"/>
      <w:rPr>
        <w:rStyle w:val="8"/>
      </w:rPr>
    </w:pPr>
    <w:r>
      <w:fldChar w:fldCharType="begin"/>
    </w:r>
    <w:r>
      <w:rPr>
        <w:rStyle w:val="8"/>
      </w:rPr>
      <w:instrText xml:space="preserve">PAGE  </w:instrText>
    </w:r>
    <w:r>
      <w:fldChar w:fldCharType="separate"/>
    </w:r>
    <w:r>
      <w:rPr>
        <w:rStyle w:val="8"/>
      </w:rPr>
      <w:t>3</w:t>
    </w:r>
    <w:r>
      <w:fldChar w:fldCharType="end"/>
    </w:r>
  </w:p>
  <w:p w14:paraId="2C427F78">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F5F3E">
    <w:pPr>
      <w:pStyle w:val="3"/>
      <w:framePr w:wrap="around" w:vAnchor="text" w:hAnchor="margin" w:xAlign="right" w:y="1"/>
      <w:rPr>
        <w:rStyle w:val="8"/>
      </w:rPr>
    </w:pPr>
    <w:r>
      <w:fldChar w:fldCharType="begin"/>
    </w:r>
    <w:r>
      <w:rPr>
        <w:rStyle w:val="8"/>
      </w:rPr>
      <w:instrText xml:space="preserve">PAGE  </w:instrText>
    </w:r>
    <w:r>
      <w:fldChar w:fldCharType="end"/>
    </w:r>
  </w:p>
  <w:p w14:paraId="2EF82E1C">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EyMWI1N2U4MTJlZjU3ZThjNzZkMTAwNjBmZWQ4YzQifQ=="/>
  </w:docVars>
  <w:rsids>
    <w:rsidRoot w:val="00BB0057"/>
    <w:rsid w:val="00016198"/>
    <w:rsid w:val="000C5EF4"/>
    <w:rsid w:val="0016113B"/>
    <w:rsid w:val="00291E5F"/>
    <w:rsid w:val="003559CD"/>
    <w:rsid w:val="003F4E68"/>
    <w:rsid w:val="00415036"/>
    <w:rsid w:val="004C5E1E"/>
    <w:rsid w:val="005449B3"/>
    <w:rsid w:val="005546B2"/>
    <w:rsid w:val="0058110B"/>
    <w:rsid w:val="006319F7"/>
    <w:rsid w:val="00686E07"/>
    <w:rsid w:val="00695C7A"/>
    <w:rsid w:val="006B34C7"/>
    <w:rsid w:val="00766DDB"/>
    <w:rsid w:val="007C79BF"/>
    <w:rsid w:val="00827ACB"/>
    <w:rsid w:val="008455CD"/>
    <w:rsid w:val="00866C73"/>
    <w:rsid w:val="008836BE"/>
    <w:rsid w:val="00951154"/>
    <w:rsid w:val="00982EA2"/>
    <w:rsid w:val="00996E5F"/>
    <w:rsid w:val="009A7D42"/>
    <w:rsid w:val="009E4AD1"/>
    <w:rsid w:val="00A5419B"/>
    <w:rsid w:val="00A94B04"/>
    <w:rsid w:val="00AB6E88"/>
    <w:rsid w:val="00BB0057"/>
    <w:rsid w:val="00C12800"/>
    <w:rsid w:val="00C84647"/>
    <w:rsid w:val="00D140D0"/>
    <w:rsid w:val="00D265DA"/>
    <w:rsid w:val="00D52080"/>
    <w:rsid w:val="00DE0E86"/>
    <w:rsid w:val="00E2567D"/>
    <w:rsid w:val="00EB5478"/>
    <w:rsid w:val="00F1255F"/>
    <w:rsid w:val="00F25E4D"/>
    <w:rsid w:val="00F31552"/>
    <w:rsid w:val="00F523BD"/>
    <w:rsid w:val="00F537E1"/>
    <w:rsid w:val="00F734F5"/>
    <w:rsid w:val="00FD1374"/>
    <w:rsid w:val="03C739B4"/>
    <w:rsid w:val="120E5512"/>
    <w:rsid w:val="18B0731D"/>
    <w:rsid w:val="19225EDB"/>
    <w:rsid w:val="1D4875E2"/>
    <w:rsid w:val="1ECE6B72"/>
    <w:rsid w:val="1F4720C1"/>
    <w:rsid w:val="216212B0"/>
    <w:rsid w:val="21906F65"/>
    <w:rsid w:val="2255660A"/>
    <w:rsid w:val="277A743E"/>
    <w:rsid w:val="2781039A"/>
    <w:rsid w:val="2FEA151A"/>
    <w:rsid w:val="32F41CE3"/>
    <w:rsid w:val="34E4779A"/>
    <w:rsid w:val="3CD96807"/>
    <w:rsid w:val="3E38346F"/>
    <w:rsid w:val="3F89685D"/>
    <w:rsid w:val="3FB475CF"/>
    <w:rsid w:val="4D2775DF"/>
    <w:rsid w:val="51754D89"/>
    <w:rsid w:val="51A05046"/>
    <w:rsid w:val="525C72AA"/>
    <w:rsid w:val="5E7D7239"/>
    <w:rsid w:val="604B613A"/>
    <w:rsid w:val="66494224"/>
    <w:rsid w:val="69FA42C6"/>
    <w:rsid w:val="70C04B9D"/>
    <w:rsid w:val="7BFA420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Body Text First Indent"/>
    <w:basedOn w:val="2"/>
    <w:unhideWhenUsed/>
    <w:qFormat/>
    <w:uiPriority w:val="99"/>
    <w:pPr>
      <w:ind w:firstLine="420" w:firstLineChars="100"/>
    </w:p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paragraph" w:customStyle="1" w:styleId="9">
    <w:name w:val="_Style 1"/>
    <w:basedOn w:val="1"/>
    <w:qFormat/>
    <w:uiPriority w:val="0"/>
    <w:pPr>
      <w:ind w:firstLine="420" w:firstLineChars="200"/>
    </w:pPr>
  </w:style>
  <w:style w:type="paragraph" w:customStyle="1" w:styleId="10">
    <w:name w:val="默认段落字体 Para Char Char Char Char Char Char Char"/>
    <w:basedOn w:val="1"/>
    <w:semiHidden/>
    <w:qFormat/>
    <w:uiPriority w:val="0"/>
    <w:rPr>
      <w:szCs w:val="3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微软中国</Company>
  <Pages>11</Pages>
  <Words>5318</Words>
  <Characters>5704</Characters>
  <Lines>7</Lines>
  <Paragraphs>2</Paragraphs>
  <TotalTime>0</TotalTime>
  <ScaleCrop>false</ScaleCrop>
  <LinksUpToDate>false</LinksUpToDate>
  <CharactersWithSpaces>5738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2011-10-31T01:34:00Z</dcterms:created>
  <dc:creator>微软用户</dc:creator>
  <cp:lastModifiedBy>晴空漫步</cp:lastModifiedBy>
  <dcterms:modified xsi:type="dcterms:W3CDTF">2024-10-23T03:48:51Z</dcterms:modified>
  <dc:title>《地方标准编制说明》格式规范</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82D0B26628E048AF98979113D7A51342_13</vt:lpwstr>
  </property>
</Properties>
</file>