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3503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F08D68">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8B8241E">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3745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707CB0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EC0CE3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C96E43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6CF4035">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65</w:t>
            </w:r>
            <w:r>
              <w:fldChar w:fldCharType="end"/>
            </w:r>
            <w:bookmarkEnd w:id="3"/>
          </w:p>
        </w:tc>
      </w:tr>
    </w:tbl>
    <w:p w14:paraId="4BA27E70">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FE9B0FD">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C91AC6A">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4A4E17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51EE332">
      <w:pPr>
        <w:pStyle w:val="52"/>
        <w:framePr w:w="9639" w:h="6976" w:hRule="exact" w:hSpace="0" w:vSpace="0" w:wrap="around" w:hAnchor="page" w:y="6408"/>
        <w:jc w:val="center"/>
        <w:rPr>
          <w:rFonts w:ascii="黑体" w:hAnsi="黑体" w:eastAsia="黑体"/>
          <w:b w:val="0"/>
          <w:bCs w:val="0"/>
          <w:w w:val="100"/>
        </w:rPr>
      </w:pPr>
    </w:p>
    <w:p w14:paraId="7CBEF75D">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麦后大豆免耕精播种植技术规程</w:t>
      </w:r>
    </w:p>
    <w:p w14:paraId="4CA2098C">
      <w:pPr>
        <w:pStyle w:val="199"/>
        <w:framePr w:h="6974" w:hRule="exact" w:wrap="around" w:x="1419" w:anchorLock="1"/>
      </w:pPr>
      <w:r>
        <w:fldChar w:fldCharType="end"/>
      </w:r>
      <w:bookmarkEnd w:id="9"/>
    </w:p>
    <w:p w14:paraId="12C724EC">
      <w:pPr>
        <w:framePr w:w="9639" w:h="6974" w:hRule="exact" w:wrap="around" w:vAnchor="page" w:hAnchor="page" w:x="1419" w:y="6408" w:anchorLock="1"/>
        <w:ind w:left="-1418"/>
      </w:pPr>
    </w:p>
    <w:p w14:paraId="5513D5FD">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Planting Techniques of No-tillage Dripped Irrigation for Summer-sowing Soybean after Wheat in Xinjiang Region </w:t>
      </w:r>
      <w:r>
        <w:rPr>
          <w:rFonts w:ascii="黑体" w:hAnsi="黑体" w:eastAsia="黑体"/>
          <w:szCs w:val="28"/>
        </w:rPr>
        <w:fldChar w:fldCharType="end"/>
      </w:r>
      <w:bookmarkEnd w:id="10"/>
    </w:p>
    <w:p w14:paraId="21CB8057">
      <w:pPr>
        <w:framePr w:w="9639" w:h="6974" w:hRule="exact" w:wrap="around" w:vAnchor="page" w:hAnchor="page" w:x="1419" w:y="6408" w:anchorLock="1"/>
        <w:spacing w:line="760" w:lineRule="exact"/>
        <w:ind w:left="-1418"/>
      </w:pPr>
    </w:p>
    <w:p w14:paraId="449021EC">
      <w:pPr>
        <w:pStyle w:val="127"/>
        <w:framePr w:w="9639" w:h="6974" w:hRule="exact" w:wrap="around" w:vAnchor="page" w:hAnchor="page" w:x="1419" w:y="6408" w:anchorLock="1"/>
        <w:textAlignment w:val="bottom"/>
        <w:rPr>
          <w:rFonts w:eastAsia="黑体"/>
          <w:szCs w:val="28"/>
        </w:rPr>
      </w:pPr>
    </w:p>
    <w:p w14:paraId="3A516353">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ED06D0C">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3488750">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DAE0CD7">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8992647">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6983C65">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新</w:t>
      </w:r>
      <w:r>
        <w:rPr>
          <w:rFonts w:hint="eastAsia" w:hAnsi="黑体"/>
          <w:w w:val="100"/>
          <w:sz w:val="28"/>
        </w:rPr>
        <w:t>疆维吾尔自治区市场监督管理局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62B7CEDC">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C2968F">
      <w:pPr>
        <w:pStyle w:val="91"/>
        <w:spacing w:before="900" w:after="468"/>
      </w:pPr>
      <w:bookmarkStart w:id="21" w:name="BookMark2"/>
      <w:r>
        <w:rPr>
          <w:spacing w:val="320"/>
        </w:rPr>
        <w:t>前</w:t>
      </w:r>
      <w:r>
        <w:t>言</w:t>
      </w:r>
    </w:p>
    <w:p w14:paraId="58D7DA10">
      <w:pPr>
        <w:spacing w:line="360" w:lineRule="auto"/>
        <w:ind w:firstLine="420" w:firstLineChars="200"/>
        <w:rPr>
          <w:rFonts w:ascii="Times New Roman" w:hAnsi="Times New Roman"/>
        </w:rPr>
      </w:pPr>
      <w:r>
        <w:rPr>
          <w:rFonts w:ascii="Times New Roman" w:hAnsi="Times New Roman"/>
        </w:rPr>
        <w:t>本文件按照GB/T 1.1-2020《标准化工作导则</w:t>
      </w:r>
      <w:r>
        <w:rPr>
          <w:rFonts w:hint="eastAsia" w:ascii="Times New Roman" w:hAnsi="Times New Roman"/>
        </w:rPr>
        <w:t xml:space="preserve"> </w:t>
      </w:r>
      <w:r>
        <w:rPr>
          <w:rFonts w:ascii="Times New Roman" w:hAnsi="Times New Roman"/>
        </w:rPr>
        <w:t xml:space="preserve"> 第l部分：标准化文件的结构和起草规则》 的规定起草。</w:t>
      </w:r>
    </w:p>
    <w:p w14:paraId="47B322E4">
      <w:pPr>
        <w:spacing w:line="360" w:lineRule="auto"/>
        <w:ind w:firstLine="420" w:firstLineChars="200"/>
        <w:rPr>
          <w:rFonts w:ascii="Times New Roman" w:hAnsi="Times New Roman"/>
        </w:rPr>
      </w:pPr>
      <w:r>
        <w:rPr>
          <w:rFonts w:hint="eastAsia" w:ascii="Times New Roman" w:hAnsi="Times New Roman"/>
        </w:rPr>
        <w:t>本文件由新疆农垦科学院提出。本文件由新疆生产建设兵团农业农村局归口并组织实施。</w:t>
      </w:r>
    </w:p>
    <w:p w14:paraId="217C0E3C">
      <w:pPr>
        <w:spacing w:line="360" w:lineRule="auto"/>
        <w:ind w:firstLine="420" w:firstLineChars="200"/>
        <w:rPr>
          <w:rFonts w:ascii="Times New Roman" w:hAnsi="Times New Roman"/>
        </w:rPr>
      </w:pPr>
      <w:r>
        <w:rPr>
          <w:rFonts w:ascii="Times New Roman" w:hAnsi="Times New Roman"/>
        </w:rPr>
        <w:t>本标准主要起草单位：新疆农垦科学院</w:t>
      </w:r>
      <w:r>
        <w:rPr>
          <w:rFonts w:hint="eastAsia" w:ascii="Times New Roman" w:hAnsi="Times New Roman"/>
        </w:rPr>
        <w:t>作物研究所。</w:t>
      </w:r>
    </w:p>
    <w:p w14:paraId="5C1BA369">
      <w:pPr>
        <w:spacing w:line="360" w:lineRule="auto"/>
        <w:ind w:firstLine="420" w:firstLineChars="200"/>
        <w:rPr>
          <w:rFonts w:ascii="Times New Roman" w:hAnsi="Times New Roman"/>
        </w:rPr>
      </w:pPr>
      <w:r>
        <w:rPr>
          <w:rFonts w:ascii="Times New Roman" w:hAnsi="Times New Roman"/>
        </w:rPr>
        <w:t>本</w:t>
      </w:r>
      <w:r>
        <w:rPr>
          <w:rFonts w:hint="eastAsia" w:ascii="Times New Roman" w:hAnsi="Times New Roman"/>
        </w:rPr>
        <w:t>标</w:t>
      </w:r>
      <w:r>
        <w:rPr>
          <w:rFonts w:ascii="Times New Roman" w:hAnsi="Times New Roman"/>
        </w:rPr>
        <w:t>准主要起草人：</w:t>
      </w:r>
      <w:r>
        <w:rPr>
          <w:rFonts w:hint="eastAsia" w:ascii="Times New Roman" w:hAnsi="Times New Roman"/>
        </w:rPr>
        <w:t>战勇、</w:t>
      </w:r>
      <w:r>
        <w:rPr>
          <w:rFonts w:ascii="Times New Roman" w:hAnsi="Times New Roman"/>
        </w:rPr>
        <w:t>张恒斌</w:t>
      </w:r>
      <w:r>
        <w:rPr>
          <w:rFonts w:hint="eastAsia" w:ascii="Times New Roman" w:hAnsi="Times New Roman"/>
        </w:rPr>
        <w:t>、</w:t>
      </w:r>
      <w:r>
        <w:rPr>
          <w:rFonts w:ascii="Times New Roman" w:hAnsi="Times New Roman"/>
        </w:rPr>
        <w:t>赵靓</w:t>
      </w:r>
      <w:r>
        <w:rPr>
          <w:rFonts w:hint="eastAsia" w:ascii="Times New Roman" w:hAnsi="Times New Roman"/>
        </w:rPr>
        <w:t>、</w:t>
      </w:r>
      <w:r>
        <w:rPr>
          <w:rFonts w:ascii="Times New Roman" w:hAnsi="Times New Roman"/>
        </w:rPr>
        <w:t>曾凯</w:t>
      </w:r>
      <w:r>
        <w:rPr>
          <w:rFonts w:hint="eastAsia" w:ascii="Times New Roman" w:hAnsi="Times New Roman"/>
        </w:rPr>
        <w:t>、张占琴、何宗铃、张</w:t>
      </w:r>
      <w:bookmarkStart w:id="25" w:name="_GoBack"/>
      <w:r>
        <w:rPr>
          <w:rFonts w:hint="eastAsia" w:ascii="Times New Roman" w:hAnsi="Times New Roman"/>
        </w:rPr>
        <w:t>祥池、苏鑫、葛优</w:t>
      </w:r>
      <w:bookmarkEnd w:id="25"/>
      <w:r>
        <w:rPr>
          <w:rFonts w:hint="eastAsia" w:ascii="Times New Roman" w:hAnsi="Times New Roman"/>
        </w:rPr>
        <w:t>、张东鹏</w:t>
      </w:r>
    </w:p>
    <w:p w14:paraId="11D72C27">
      <w:pPr>
        <w:spacing w:line="360" w:lineRule="auto"/>
        <w:ind w:firstLine="420" w:firstLineChars="200"/>
        <w:rPr>
          <w:rFonts w:ascii="Times New Roman" w:hAnsi="Times New Roman"/>
        </w:rPr>
      </w:pPr>
      <w:r>
        <w:rPr>
          <w:rFonts w:hint="eastAsia" w:ascii="Times New Roman" w:hAnsi="Times New Roman"/>
        </w:rPr>
        <w:t>本文件实施应用中的疑问，请咨询新疆农垦科学院。</w:t>
      </w:r>
    </w:p>
    <w:p w14:paraId="6303AF6F">
      <w:pPr>
        <w:spacing w:line="360" w:lineRule="auto"/>
        <w:ind w:firstLine="420" w:firstLineChars="200"/>
        <w:rPr>
          <w:rFonts w:ascii="Times New Roman" w:hAnsi="Times New Roman"/>
        </w:rPr>
      </w:pPr>
      <w:r>
        <w:rPr>
          <w:rFonts w:hint="eastAsia" w:ascii="Times New Roman" w:hAnsi="Times New Roman"/>
        </w:rPr>
        <w:t>对本文件的修改意见建议，请反馈至新疆生产建设兵团农业农村局（乌鲁木齐市光明路</w:t>
      </w:r>
      <w:r>
        <w:rPr>
          <w:rFonts w:ascii="Times New Roman" w:hAnsi="Times New Roman"/>
        </w:rPr>
        <w:t>196</w:t>
      </w:r>
      <w:r>
        <w:rPr>
          <w:rFonts w:hint="eastAsia" w:ascii="Times New Roman" w:hAnsi="Times New Roman"/>
        </w:rPr>
        <w:t>号）、新疆农垦科学院（新疆维吾尔自治区石河子市乌伊公路</w:t>
      </w:r>
      <w:r>
        <w:rPr>
          <w:rFonts w:ascii="Times New Roman" w:hAnsi="Times New Roman"/>
        </w:rPr>
        <w:t>221</w:t>
      </w:r>
      <w:r>
        <w:rPr>
          <w:rFonts w:hint="eastAsia" w:ascii="Times New Roman" w:hAnsi="Times New Roman"/>
        </w:rPr>
        <w:t>号）。</w:t>
      </w:r>
    </w:p>
    <w:p w14:paraId="442EACCE">
      <w:pPr>
        <w:spacing w:line="360" w:lineRule="auto"/>
        <w:ind w:firstLine="420" w:firstLineChars="200"/>
        <w:rPr>
          <w:rFonts w:ascii="Times New Roman" w:hAnsi="Times New Roman"/>
        </w:rPr>
      </w:pPr>
      <w:r>
        <w:rPr>
          <w:rFonts w:hint="eastAsia" w:ascii="Times New Roman" w:hAnsi="Times New Roman"/>
        </w:rPr>
        <w:t>新疆生产建设兵团农业农村局联系电话：</w:t>
      </w:r>
      <w:r>
        <w:rPr>
          <w:rFonts w:ascii="Times New Roman" w:hAnsi="Times New Roman"/>
        </w:rPr>
        <w:t>0991</w:t>
      </w:r>
      <w:r>
        <w:rPr>
          <w:rFonts w:hint="eastAsia" w:ascii="Times New Roman" w:hAnsi="Times New Roman"/>
        </w:rPr>
        <w:t>-</w:t>
      </w:r>
      <w:r>
        <w:rPr>
          <w:rFonts w:ascii="Times New Roman" w:hAnsi="Times New Roman"/>
        </w:rPr>
        <w:t>2890281</w:t>
      </w:r>
      <w:r>
        <w:rPr>
          <w:rFonts w:hint="eastAsia" w:ascii="Times New Roman" w:hAnsi="Times New Roman"/>
        </w:rPr>
        <w:t>，传真：</w:t>
      </w:r>
      <w:r>
        <w:rPr>
          <w:rFonts w:ascii="Times New Roman" w:hAnsi="Times New Roman"/>
        </w:rPr>
        <w:t>0991</w:t>
      </w:r>
      <w:r>
        <w:rPr>
          <w:rFonts w:hint="eastAsia" w:ascii="Times New Roman" w:hAnsi="Times New Roman"/>
        </w:rPr>
        <w:t>-</w:t>
      </w:r>
      <w:r>
        <w:rPr>
          <w:rFonts w:ascii="Times New Roman" w:hAnsi="Times New Roman"/>
        </w:rPr>
        <w:t>2890294</w:t>
      </w:r>
      <w:r>
        <w:rPr>
          <w:rFonts w:hint="eastAsia" w:ascii="Times New Roman" w:hAnsi="Times New Roman"/>
        </w:rPr>
        <w:t>，邮编：</w:t>
      </w:r>
      <w:r>
        <w:rPr>
          <w:rFonts w:ascii="Times New Roman" w:hAnsi="Times New Roman"/>
        </w:rPr>
        <w:t>830002</w:t>
      </w:r>
      <w:r>
        <w:rPr>
          <w:rFonts w:hint="eastAsia" w:ascii="Times New Roman" w:hAnsi="Times New Roman"/>
        </w:rPr>
        <w:t>。</w:t>
      </w:r>
    </w:p>
    <w:p w14:paraId="68F22ED3">
      <w:pPr>
        <w:spacing w:line="360" w:lineRule="auto"/>
        <w:ind w:firstLine="420" w:firstLineChars="200"/>
        <w:rPr>
          <w:rFonts w:ascii="Times New Roman" w:hAnsi="Times New Roman" w:cs="Arial"/>
          <w:color w:val="000000"/>
          <w:kern w:val="0"/>
        </w:rPr>
      </w:pPr>
      <w:r>
        <w:rPr>
          <w:rFonts w:hint="eastAsia" w:ascii="Times New Roman" w:hAnsi="Times New Roman"/>
        </w:rPr>
        <w:t>新疆农垦科学院联系电话：</w:t>
      </w:r>
      <w:r>
        <w:rPr>
          <w:rFonts w:hint="eastAsia" w:ascii="Times New Roman" w:hAnsi="Times New Roman" w:cs="Arial"/>
          <w:color w:val="000000"/>
          <w:kern w:val="0"/>
        </w:rPr>
        <w:t>0993-6683346，</w:t>
      </w:r>
      <w:r>
        <w:rPr>
          <w:rFonts w:hint="eastAsia" w:ascii="Times New Roman" w:hAnsi="Times New Roman"/>
        </w:rPr>
        <w:t>传真：</w:t>
      </w:r>
      <w:r>
        <w:rPr>
          <w:rFonts w:hint="eastAsia" w:ascii="Times New Roman" w:hAnsi="Times New Roman" w:cs="Arial"/>
          <w:color w:val="000000"/>
          <w:kern w:val="0"/>
        </w:rPr>
        <w:t>0993-6683346，</w:t>
      </w:r>
      <w:r>
        <w:rPr>
          <w:rFonts w:hint="eastAsia" w:ascii="Times New Roman" w:hAnsi="Times New Roman"/>
        </w:rPr>
        <w:t>邮编：832000。</w:t>
      </w:r>
    </w:p>
    <w:p w14:paraId="21D356DA">
      <w:pPr>
        <w:spacing w:line="360" w:lineRule="auto"/>
        <w:ind w:firstLine="420" w:firstLineChars="200"/>
        <w:rPr>
          <w:rFonts w:ascii="Times New Roman" w:hAnsi="Times New Roman"/>
        </w:rPr>
      </w:pPr>
      <w:r>
        <w:rPr>
          <w:rFonts w:hint="eastAsia" w:ascii="Times New Roman" w:hAnsi="Times New Roman"/>
        </w:rPr>
        <w:t>新疆维吾尔自治区市场监督管理局联系电话：</w:t>
      </w:r>
      <w:r>
        <w:rPr>
          <w:rFonts w:ascii="Times New Roman" w:hAnsi="Times New Roman"/>
        </w:rPr>
        <w:t>0991</w:t>
      </w:r>
      <w:r>
        <w:rPr>
          <w:rFonts w:hint="eastAsia" w:ascii="Times New Roman" w:hAnsi="Times New Roman"/>
        </w:rPr>
        <w:t>-</w:t>
      </w:r>
      <w:r>
        <w:rPr>
          <w:rFonts w:ascii="Times New Roman" w:hAnsi="Times New Roman"/>
        </w:rPr>
        <w:t>2818750</w:t>
      </w:r>
      <w:r>
        <w:rPr>
          <w:rFonts w:hint="eastAsia" w:ascii="Times New Roman" w:hAnsi="Times New Roman"/>
        </w:rPr>
        <w:t>，传真：</w:t>
      </w:r>
      <w:r>
        <w:rPr>
          <w:rFonts w:ascii="Times New Roman" w:hAnsi="Times New Roman"/>
        </w:rPr>
        <w:t>0991</w:t>
      </w:r>
      <w:r>
        <w:rPr>
          <w:rFonts w:hint="eastAsia" w:ascii="Times New Roman" w:hAnsi="Times New Roman"/>
        </w:rPr>
        <w:t>-</w:t>
      </w:r>
      <w:r>
        <w:rPr>
          <w:rFonts w:ascii="Times New Roman" w:hAnsi="Times New Roman"/>
        </w:rPr>
        <w:t>2311250</w:t>
      </w:r>
      <w:r>
        <w:rPr>
          <w:rFonts w:hint="eastAsia" w:ascii="Times New Roman" w:hAnsi="Times New Roman"/>
        </w:rPr>
        <w:t>，邮编：</w:t>
      </w:r>
      <w:r>
        <w:rPr>
          <w:rFonts w:ascii="Times New Roman" w:hAnsi="Times New Roman"/>
        </w:rPr>
        <w:t>830004</w:t>
      </w:r>
      <w:r>
        <w:rPr>
          <w:rFonts w:hint="eastAsia" w:ascii="Times New Roman" w:hAnsi="Times New Roman"/>
        </w:rPr>
        <w:t>。</w:t>
      </w:r>
    </w:p>
    <w:p w14:paraId="3C7A1B84">
      <w:pPr>
        <w:pStyle w:val="58"/>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4A362C2">
      <w:pPr>
        <w:spacing w:line="20" w:lineRule="exact"/>
        <w:jc w:val="center"/>
        <w:rPr>
          <w:rFonts w:ascii="黑体" w:hAnsi="黑体" w:eastAsia="黑体"/>
          <w:sz w:val="32"/>
          <w:szCs w:val="32"/>
        </w:rPr>
      </w:pPr>
      <w:bookmarkStart w:id="22" w:name="BookMark4"/>
    </w:p>
    <w:p w14:paraId="4B4A1A0D">
      <w:pPr>
        <w:spacing w:line="20" w:lineRule="exact"/>
        <w:jc w:val="center"/>
        <w:rPr>
          <w:rFonts w:ascii="黑体" w:hAnsi="黑体" w:eastAsia="黑体"/>
          <w:sz w:val="32"/>
          <w:szCs w:val="32"/>
        </w:rPr>
      </w:pPr>
    </w:p>
    <w:bookmarkEnd w:id="22"/>
    <w:sdt>
      <w:sdtPr>
        <w:tag w:val="NEW_STAND_NAME"/>
        <w:id w:val="595910757"/>
        <w:lock w:val="sdtLocked"/>
        <w:placeholder>
          <w:docPart w:val="{3e93fe3d-2301-4c11-b252-815752fe27c0}"/>
        </w:placeholder>
      </w:sdtPr>
      <w:sdtContent>
        <w:p w14:paraId="018D9BCE">
          <w:pPr>
            <w:spacing w:line="292" w:lineRule="auto"/>
            <w:jc w:val="center"/>
            <w:rPr>
              <w:rFonts w:ascii="宋体" w:hAnsi="宋体"/>
              <w:b/>
              <w:bCs/>
              <w:spacing w:val="18"/>
              <w:sz w:val="32"/>
              <w:szCs w:val="32"/>
            </w:rPr>
          </w:pPr>
          <w:bookmarkStart w:id="23" w:name="NEW_STAND_NAME"/>
          <w:bookmarkEnd w:id="23"/>
          <w:r>
            <w:rPr>
              <w:rFonts w:hint="eastAsia" w:ascii="宋体" w:hAnsi="宋体"/>
              <w:b/>
              <w:bCs/>
              <w:spacing w:val="18"/>
              <w:sz w:val="32"/>
              <w:szCs w:val="32"/>
            </w:rPr>
            <w:t>麦后大豆免耕精播种植技术规程</w:t>
          </w:r>
        </w:p>
        <w:p w14:paraId="2759CD33">
          <w:pPr>
            <w:spacing w:line="292" w:lineRule="auto"/>
          </w:pPr>
          <w:r>
            <w:t xml:space="preserve"> </w:t>
          </w:r>
        </w:p>
        <w:p w14:paraId="08780479">
          <w:pPr>
            <w:spacing w:line="292" w:lineRule="auto"/>
          </w:pPr>
          <w:r>
            <w:t xml:space="preserve"> </w:t>
          </w:r>
        </w:p>
        <w:p w14:paraId="5782239B">
          <w:pPr>
            <w:pStyle w:val="238"/>
            <w:numPr>
              <w:ilvl w:val="0"/>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范围</w:t>
          </w:r>
        </w:p>
        <w:p w14:paraId="41E5F5F7">
          <w:pPr>
            <w:spacing w:line="360" w:lineRule="auto"/>
            <w:ind w:firstLine="480" w:firstLineChars="200"/>
            <w:rPr>
              <w:rFonts w:ascii="宋体" w:hAnsi="宋体"/>
              <w:sz w:val="24"/>
              <w:szCs w:val="24"/>
            </w:rPr>
          </w:pPr>
          <w:r>
            <w:rPr>
              <w:rFonts w:hint="eastAsia" w:ascii="宋体" w:hAnsi="宋体"/>
              <w:sz w:val="24"/>
              <w:szCs w:val="24"/>
            </w:rPr>
            <w:t>本标准规定了北疆麦后留茬免耕复播大豆种植技术的术语和定义、环境条件、前茬小麦收获及秸秆处理、整地、大豆种植、大豆收获生产档案的技术要求，本标准适用于小麦-大豆免耕生产。</w:t>
          </w:r>
        </w:p>
        <w:p w14:paraId="0BD27D7E">
          <w:pPr>
            <w:pStyle w:val="238"/>
            <w:numPr>
              <w:ilvl w:val="0"/>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规范性引用文件</w:t>
          </w:r>
        </w:p>
        <w:p w14:paraId="033461FD">
          <w:pPr>
            <w:pStyle w:val="238"/>
            <w:spacing w:before="40" w:beforeAutospacing="0" w:after="0" w:afterAutospacing="0" w:line="360" w:lineRule="auto"/>
            <w:ind w:firstLine="300"/>
            <w:rPr>
              <w:rFonts w:cs="Arial"/>
              <w:color w:val="000000"/>
            </w:rPr>
          </w:pPr>
          <w:bookmarkStart w:id="24" w:name="_Hlk179821432"/>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24"/>
        </w:p>
        <w:p w14:paraId="11999ABD">
          <w:pPr>
            <w:pStyle w:val="238"/>
            <w:spacing w:before="40" w:beforeAutospacing="0" w:after="0" w:afterAutospacing="0" w:line="360" w:lineRule="auto"/>
            <w:ind w:firstLine="300"/>
            <w:rPr>
              <w:rFonts w:cs="Arial"/>
              <w:color w:val="000000"/>
            </w:rPr>
          </w:pPr>
          <w:r>
            <w:rPr>
              <w:rFonts w:hint="eastAsia" w:cs="Arial"/>
              <w:color w:val="000000"/>
            </w:rPr>
            <w:t>GB 3095环境空气质量标准</w:t>
          </w:r>
        </w:p>
        <w:p w14:paraId="6A9BFDA8">
          <w:pPr>
            <w:pStyle w:val="238"/>
            <w:spacing w:before="40" w:beforeAutospacing="0" w:after="0" w:afterAutospacing="0" w:line="360" w:lineRule="auto"/>
            <w:ind w:firstLine="300"/>
            <w:rPr>
              <w:rFonts w:cs="Arial"/>
              <w:color w:val="000000"/>
            </w:rPr>
          </w:pPr>
          <w:r>
            <w:rPr>
              <w:rFonts w:hint="eastAsia" w:cs="Arial"/>
              <w:color w:val="000000"/>
            </w:rPr>
            <w:t>GB4404.1粮食作物种子―禾谷类</w:t>
          </w:r>
        </w:p>
        <w:p w14:paraId="4F3C7859">
          <w:pPr>
            <w:pStyle w:val="238"/>
            <w:spacing w:before="40" w:beforeAutospacing="0" w:after="0" w:afterAutospacing="0" w:line="360" w:lineRule="auto"/>
            <w:ind w:firstLine="300"/>
            <w:rPr>
              <w:rFonts w:cs="Arial"/>
              <w:color w:val="000000"/>
            </w:rPr>
          </w:pPr>
          <w:r>
            <w:rPr>
              <w:rFonts w:hint="eastAsia" w:cs="Arial"/>
              <w:color w:val="000000"/>
            </w:rPr>
            <w:t>GB4404.2粮食作物种子旳豆类</w:t>
          </w:r>
        </w:p>
        <w:p w14:paraId="52DA8070">
          <w:pPr>
            <w:pStyle w:val="238"/>
            <w:spacing w:before="40" w:beforeAutospacing="0" w:after="0" w:afterAutospacing="0" w:line="360" w:lineRule="auto"/>
            <w:ind w:firstLine="300"/>
            <w:rPr>
              <w:rFonts w:cs="Arial"/>
              <w:color w:val="000000"/>
            </w:rPr>
          </w:pPr>
          <w:r>
            <w:rPr>
              <w:rFonts w:hint="eastAsia" w:cs="Arial"/>
              <w:color w:val="000000"/>
            </w:rPr>
            <w:t>GB 5084农田灌溉水质标准</w:t>
          </w:r>
        </w:p>
        <w:p w14:paraId="3750A3E8">
          <w:pPr>
            <w:pStyle w:val="238"/>
            <w:spacing w:before="40" w:beforeAutospacing="0" w:after="0" w:afterAutospacing="0" w:line="360" w:lineRule="auto"/>
            <w:ind w:firstLine="300"/>
            <w:rPr>
              <w:rFonts w:cs="Arial"/>
              <w:color w:val="000000"/>
            </w:rPr>
          </w:pPr>
          <w:r>
            <w:rPr>
              <w:rFonts w:hint="eastAsia" w:cs="Arial"/>
              <w:color w:val="000000"/>
            </w:rPr>
            <w:t>GB/T 8321农药合理使用准则</w:t>
          </w:r>
        </w:p>
        <w:p w14:paraId="1B6E71A6">
          <w:pPr>
            <w:pStyle w:val="238"/>
            <w:spacing w:before="40" w:beforeAutospacing="0" w:after="0" w:afterAutospacing="0" w:line="360" w:lineRule="auto"/>
            <w:ind w:firstLine="300"/>
            <w:rPr>
              <w:rFonts w:cs="Arial"/>
              <w:color w:val="000000"/>
            </w:rPr>
          </w:pPr>
          <w:r>
            <w:rPr>
              <w:rFonts w:hint="eastAsia" w:cs="Arial"/>
              <w:color w:val="000000"/>
            </w:rPr>
            <w:t>GB 12475农药贮运、销售和使用的防毒规程</w:t>
          </w:r>
        </w:p>
        <w:p w14:paraId="3CF4F920">
          <w:pPr>
            <w:pStyle w:val="238"/>
            <w:spacing w:before="40" w:beforeAutospacing="0" w:after="0" w:afterAutospacing="0" w:line="360" w:lineRule="auto"/>
            <w:ind w:firstLine="300"/>
            <w:rPr>
              <w:rFonts w:cs="Arial"/>
              <w:color w:val="000000"/>
            </w:rPr>
          </w:pPr>
          <w:r>
            <w:rPr>
              <w:rFonts w:hint="eastAsia" w:cs="Arial"/>
              <w:color w:val="000000"/>
            </w:rPr>
            <w:t>GB 15618上壤环境质量标准</w:t>
          </w:r>
        </w:p>
        <w:p w14:paraId="7A1B8524">
          <w:pPr>
            <w:pStyle w:val="238"/>
            <w:spacing w:before="40" w:beforeAutospacing="0" w:after="0" w:afterAutospacing="0" w:line="360" w:lineRule="auto"/>
            <w:ind w:firstLine="300"/>
            <w:rPr>
              <w:rFonts w:cs="Arial"/>
              <w:color w:val="000000"/>
            </w:rPr>
          </w:pPr>
          <w:r>
            <w:rPr>
              <w:rFonts w:hint="eastAsia" w:cs="Arial"/>
              <w:color w:val="000000"/>
            </w:rPr>
            <w:t>GB/T 15671农作物薄膜包衣种子技术条件</w:t>
          </w:r>
        </w:p>
        <w:p w14:paraId="42BF438A">
          <w:pPr>
            <w:pStyle w:val="238"/>
            <w:spacing w:before="40" w:beforeAutospacing="0" w:after="0" w:afterAutospacing="0" w:line="360" w:lineRule="auto"/>
            <w:ind w:firstLine="300"/>
            <w:rPr>
              <w:rFonts w:cs="Arial"/>
              <w:color w:val="000000"/>
            </w:rPr>
          </w:pPr>
          <w:r>
            <w:rPr>
              <w:rFonts w:hint="eastAsia" w:cs="Arial"/>
              <w:color w:val="000000"/>
            </w:rPr>
            <w:t>NY/T 496肥料合理使用准则通则</w:t>
          </w:r>
        </w:p>
        <w:p w14:paraId="5D24CC9E">
          <w:pPr>
            <w:pStyle w:val="238"/>
            <w:spacing w:before="40" w:beforeAutospacing="0" w:after="0" w:afterAutospacing="0" w:line="360" w:lineRule="auto"/>
            <w:ind w:firstLine="300"/>
            <w:rPr>
              <w:rFonts w:cs="Arial"/>
              <w:color w:val="000000"/>
            </w:rPr>
          </w:pPr>
          <w:r>
            <w:rPr>
              <w:rFonts w:hint="eastAsia" w:cs="Arial"/>
              <w:color w:val="000000"/>
            </w:rPr>
            <w:t>NY/T 2159大豆主要病害防治技术规程</w:t>
          </w:r>
        </w:p>
        <w:p w14:paraId="775C9338">
          <w:pPr>
            <w:pStyle w:val="238"/>
            <w:numPr>
              <w:ilvl w:val="0"/>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术语和定义</w:t>
          </w:r>
        </w:p>
        <w:p w14:paraId="273ECAE0">
          <w:pPr>
            <w:pStyle w:val="238"/>
            <w:spacing w:before="40" w:beforeAutospacing="0" w:after="0" w:afterAutospacing="0" w:line="360" w:lineRule="auto"/>
            <w:ind w:firstLine="300"/>
            <w:rPr>
              <w:rFonts w:cs="Arial"/>
              <w:color w:val="000000"/>
            </w:rPr>
          </w:pPr>
          <w:r>
            <w:rPr>
              <w:rFonts w:hint="eastAsia" w:cs="Arial"/>
              <w:color w:val="000000"/>
            </w:rPr>
            <w:t>下列术语和定义适用于本文件。</w:t>
          </w:r>
        </w:p>
        <w:p w14:paraId="647B0E19">
          <w:pPr>
            <w:pStyle w:val="238"/>
            <w:numPr>
              <w:ilvl w:val="1"/>
              <w:numId w:val="33"/>
            </w:numPr>
            <w:spacing w:before="40" w:beforeAutospacing="0" w:after="0" w:afterAutospacing="0" w:line="360" w:lineRule="auto"/>
            <w:rPr>
              <w:rFonts w:ascii="Times New Roman" w:hAnsi="Times New Roman" w:eastAsia="黑体" w:cs="Times New Roman"/>
              <w:color w:val="000000"/>
              <w:sz w:val="28"/>
              <w:szCs w:val="28"/>
            </w:rPr>
          </w:pPr>
          <w:r>
            <w:rPr>
              <w:rFonts w:ascii="Times New Roman" w:hAnsi="Times New Roman" w:eastAsia="黑体" w:cs="Times New Roman"/>
              <w:color w:val="000000"/>
              <w:sz w:val="28"/>
              <w:szCs w:val="28"/>
            </w:rPr>
            <w:t>免耕 No tillage</w:t>
          </w:r>
        </w:p>
        <w:p w14:paraId="354FB09A">
          <w:pPr>
            <w:pStyle w:val="238"/>
            <w:spacing w:before="40" w:beforeAutospacing="0" w:after="0" w:afterAutospacing="0" w:line="360" w:lineRule="auto"/>
            <w:ind w:firstLine="300"/>
            <w:rPr>
              <w:rFonts w:cs="Arial"/>
              <w:color w:val="000000"/>
            </w:rPr>
          </w:pPr>
          <w:r>
            <w:rPr>
              <w:rFonts w:hint="eastAsia" w:cs="Arial"/>
              <w:color w:val="000000"/>
            </w:rPr>
            <w:t>前茬小麦收获后，不翻耕土壤直接在茬地播种，在作物生长期间不进行中耕管理的耕作技术。</w:t>
          </w:r>
        </w:p>
        <w:p w14:paraId="2876AAAC">
          <w:pPr>
            <w:pStyle w:val="238"/>
            <w:numPr>
              <w:ilvl w:val="0"/>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前茬小麦收获及秸秆处理</w:t>
          </w:r>
        </w:p>
        <w:p w14:paraId="5D9453BC">
          <w:pPr>
            <w:pStyle w:val="238"/>
            <w:numPr>
              <w:ilvl w:val="1"/>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小麦收获</w:t>
          </w:r>
        </w:p>
        <w:p w14:paraId="73EDECE8">
          <w:pPr>
            <w:spacing w:line="360" w:lineRule="auto"/>
            <w:ind w:firstLine="480" w:firstLineChars="200"/>
            <w:rPr>
              <w:rFonts w:ascii="Times New Roman" w:hAnsi="Times New Roman"/>
              <w:sz w:val="24"/>
              <w:szCs w:val="24"/>
            </w:rPr>
          </w:pPr>
          <w:r>
            <w:rPr>
              <w:rFonts w:ascii="Times New Roman" w:hAnsi="Times New Roman"/>
              <w:sz w:val="24"/>
              <w:szCs w:val="24"/>
            </w:rPr>
            <w:t>前茬小麦可采用机械收获，损失率&lt;3%；根茬高度≤10 cm。</w:t>
          </w:r>
        </w:p>
        <w:p w14:paraId="5F5DDA07">
          <w:pPr>
            <w:pStyle w:val="238"/>
            <w:numPr>
              <w:ilvl w:val="1"/>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秸秆处理</w:t>
          </w:r>
        </w:p>
        <w:p w14:paraId="472483B1">
          <w:pPr>
            <w:spacing w:line="360" w:lineRule="auto"/>
            <w:ind w:firstLine="480" w:firstLineChars="200"/>
            <w:rPr>
              <w:rFonts w:ascii="Times New Roman" w:hAnsi="Times New Roman"/>
              <w:sz w:val="24"/>
              <w:szCs w:val="24"/>
            </w:rPr>
          </w:pPr>
          <w:r>
            <w:rPr>
              <w:rFonts w:ascii="Times New Roman" w:hAnsi="Times New Roman"/>
              <w:sz w:val="24"/>
              <w:szCs w:val="24"/>
            </w:rPr>
            <w:t>采用具有秸秆粉碎装置的联合收获机收获，一次进地完成小麦收获和秸秆粉碎作业。粉碎后的秸秆应打捆拉运或均匀抛撒覆盖地表，长度≤10 cm。</w:t>
          </w:r>
        </w:p>
        <w:p w14:paraId="5E28895B">
          <w:pPr>
            <w:pStyle w:val="238"/>
            <w:numPr>
              <w:ilvl w:val="0"/>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土地的准备</w:t>
          </w:r>
        </w:p>
        <w:p w14:paraId="5D88E73F">
          <w:pPr>
            <w:pStyle w:val="238"/>
            <w:numPr>
              <w:ilvl w:val="1"/>
              <w:numId w:val="33"/>
            </w:numPr>
            <w:spacing w:before="40" w:beforeAutospacing="0" w:after="0" w:afterAutospacing="0" w:line="360" w:lineRule="auto"/>
            <w:rPr>
              <w:rFonts w:ascii="黑体" w:hAnsi="黑体" w:eastAsia="黑体"/>
              <w:color w:val="000000"/>
              <w:sz w:val="28"/>
              <w:szCs w:val="28"/>
            </w:rPr>
          </w:pPr>
          <w:r>
            <w:rPr>
              <w:rFonts w:hint="eastAsia" w:ascii="黑体" w:hAnsi="黑体" w:eastAsia="黑体"/>
              <w:color w:val="000000"/>
              <w:sz w:val="28"/>
              <w:szCs w:val="28"/>
            </w:rPr>
            <w:t>土地的准备</w:t>
          </w:r>
        </w:p>
        <w:p w14:paraId="6EF25FF2">
          <w:pPr>
            <w:spacing w:line="360" w:lineRule="auto"/>
            <w:ind w:firstLine="480" w:firstLineChars="200"/>
            <w:rPr>
              <w:rFonts w:ascii="Times New Roman" w:hAnsi="Times New Roman"/>
              <w:sz w:val="24"/>
              <w:szCs w:val="24"/>
            </w:rPr>
          </w:pPr>
          <w:r>
            <w:rPr>
              <w:rFonts w:ascii="Times New Roman" w:hAnsi="Times New Roman"/>
              <w:sz w:val="24"/>
              <w:szCs w:val="24"/>
            </w:rPr>
            <w:t>选择土壤肥力中等以上地块，地块总盐含量≤1‰，要求具备完善的灌溉设施，灌水方便，土地平坦，土层深厚，耕层结构良好。</w:t>
          </w:r>
        </w:p>
        <w:p w14:paraId="75B7A51D">
          <w:pPr>
            <w:spacing w:line="360" w:lineRule="auto"/>
            <w:ind w:firstLine="480" w:firstLineChars="200"/>
            <w:rPr>
              <w:rFonts w:ascii="Times New Roman" w:hAnsi="Times New Roman"/>
              <w:sz w:val="24"/>
              <w:szCs w:val="24"/>
            </w:rPr>
          </w:pPr>
          <w:r>
            <w:rPr>
              <w:rFonts w:ascii="Times New Roman" w:hAnsi="Times New Roman"/>
              <w:sz w:val="24"/>
              <w:szCs w:val="24"/>
            </w:rPr>
            <w:t>免耕复播不整地，但要求土壤平坦，麦草留茬高度一致，麦草拉运出地块或抛撒均匀，无明显堆积现象。</w:t>
          </w:r>
        </w:p>
        <w:p w14:paraId="12CB88BF">
          <w:pPr>
            <w:pStyle w:val="238"/>
            <w:numPr>
              <w:ilvl w:val="0"/>
              <w:numId w:val="33"/>
            </w:numPr>
            <w:spacing w:before="40" w:beforeAutospacing="0" w:after="0" w:afterAutospacing="0" w:line="360" w:lineRule="auto"/>
            <w:rPr>
              <w:rFonts w:ascii="黑体" w:hAnsi="黑体" w:eastAsia="黑体"/>
              <w:color w:val="000000"/>
              <w:sz w:val="28"/>
              <w:szCs w:val="28"/>
            </w:rPr>
          </w:pPr>
          <w:r>
            <w:rPr>
              <w:rFonts w:hint="eastAsia" w:ascii="黑体" w:hAnsi="黑体" w:eastAsia="黑体"/>
              <w:b/>
              <w:bCs/>
              <w:color w:val="000000"/>
              <w:sz w:val="28"/>
              <w:szCs w:val="28"/>
            </w:rPr>
            <w:t>大豆种植</w:t>
          </w:r>
        </w:p>
        <w:p w14:paraId="774DB1FB">
          <w:pPr>
            <w:pStyle w:val="238"/>
            <w:numPr>
              <w:ilvl w:val="1"/>
              <w:numId w:val="33"/>
            </w:numPr>
            <w:spacing w:before="40" w:beforeAutospacing="0" w:after="0" w:afterAutospacing="0" w:line="360" w:lineRule="auto"/>
            <w:rPr>
              <w:rFonts w:ascii="黑体" w:hAnsi="黑体" w:eastAsia="黑体"/>
              <w:color w:val="000000"/>
              <w:sz w:val="28"/>
              <w:szCs w:val="28"/>
            </w:rPr>
          </w:pPr>
          <w:r>
            <w:rPr>
              <w:rFonts w:ascii="Times New Roman" w:hAnsi="Times New Roman" w:cs="Times New Roman"/>
              <w:b/>
              <w:bCs/>
              <w:color w:val="000000"/>
              <w:sz w:val="28"/>
              <w:szCs w:val="28"/>
            </w:rPr>
            <w:t>产量构成指标：</w:t>
          </w:r>
        </w:p>
        <w:p w14:paraId="3A1F46A4">
          <w:pPr>
            <w:pStyle w:val="238"/>
            <w:spacing w:before="4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亩产220 kg～250 kg，亩收获株数3.2 万株～3.6万株，单株结荚16 个～20个、单株粒数40 粒～50粒，百粒重17 g～20 g。</w:t>
          </w:r>
        </w:p>
        <w:p w14:paraId="490ABEB8">
          <w:pPr>
            <w:pStyle w:val="238"/>
            <w:numPr>
              <w:ilvl w:val="1"/>
              <w:numId w:val="33"/>
            </w:numPr>
            <w:spacing w:before="40" w:beforeAutospacing="0" w:after="0" w:afterAutospacing="0" w:line="360" w:lineRule="auto"/>
            <w:rPr>
              <w:rFonts w:ascii="Times New Roman" w:hAnsi="Times New Roman" w:cs="Times New Roman"/>
              <w:color w:val="000000"/>
              <w:sz w:val="28"/>
              <w:szCs w:val="28"/>
            </w:rPr>
          </w:pPr>
          <w:r>
            <w:rPr>
              <w:rFonts w:hint="eastAsia" w:ascii="黑体" w:hAnsi="黑体" w:eastAsia="黑体"/>
              <w:color w:val="000000"/>
              <w:sz w:val="28"/>
              <w:szCs w:val="28"/>
            </w:rPr>
            <w:t>种子及其处理</w:t>
          </w:r>
        </w:p>
        <w:p w14:paraId="03682755">
          <w:pPr>
            <w:pStyle w:val="238"/>
            <w:numPr>
              <w:ilvl w:val="2"/>
              <w:numId w:val="33"/>
            </w:numPr>
            <w:spacing w:before="40" w:beforeAutospacing="0" w:after="0" w:afterAutospacing="0" w:line="360" w:lineRule="auto"/>
            <w:rPr>
              <w:b/>
              <w:bCs/>
            </w:rPr>
          </w:pPr>
          <w:r>
            <w:rPr>
              <w:rFonts w:hint="eastAsia"/>
              <w:b/>
              <w:bCs/>
            </w:rPr>
            <w:t>品种选择</w:t>
          </w:r>
        </w:p>
        <w:p w14:paraId="5A98BFAF">
          <w:pPr>
            <w:spacing w:line="360" w:lineRule="auto"/>
            <w:ind w:firstLine="480" w:firstLineChars="200"/>
            <w:rPr>
              <w:rFonts w:ascii="宋体" w:hAnsi="宋体"/>
              <w:color w:val="0000FF"/>
              <w:sz w:val="24"/>
              <w:szCs w:val="24"/>
            </w:rPr>
          </w:pPr>
          <w:r>
            <w:rPr>
              <w:rFonts w:hint="eastAsia" w:ascii="宋体" w:hAnsi="宋体"/>
              <w:sz w:val="24"/>
              <w:szCs w:val="24"/>
            </w:rPr>
            <w:t>选择审定推广的适宜、高产、优质、抗倒伏等抗逆性强的早熟品种，品种生育期根据当地小麦收获后的有效积温来决定。建议选用生育期内所需有效积温≤2000℃的早熟品种</w:t>
          </w:r>
          <w:r>
            <w:rPr>
              <w:rFonts w:hint="eastAsia" w:ascii="宋体" w:hAnsi="宋体"/>
              <w:color w:val="0000FF"/>
              <w:sz w:val="24"/>
              <w:szCs w:val="24"/>
            </w:rPr>
            <w:t>。</w:t>
          </w:r>
        </w:p>
        <w:p w14:paraId="584223AB">
          <w:pPr>
            <w:pStyle w:val="238"/>
            <w:numPr>
              <w:ilvl w:val="2"/>
              <w:numId w:val="33"/>
            </w:numPr>
            <w:spacing w:before="40" w:beforeAutospacing="0" w:after="0" w:afterAutospacing="0" w:line="360" w:lineRule="auto"/>
            <w:rPr>
              <w:b/>
              <w:bCs/>
            </w:rPr>
          </w:pPr>
          <w:r>
            <w:rPr>
              <w:rFonts w:hint="eastAsia"/>
              <w:b/>
              <w:bCs/>
            </w:rPr>
            <w:t>种子质量</w:t>
          </w:r>
        </w:p>
        <w:p w14:paraId="51435FC3">
          <w:pPr>
            <w:spacing w:line="360" w:lineRule="auto"/>
            <w:ind w:firstLine="480" w:firstLineChars="200"/>
            <w:rPr>
              <w:rFonts w:ascii="Times New Roman" w:hAnsi="Times New Roman"/>
              <w:sz w:val="24"/>
              <w:szCs w:val="24"/>
            </w:rPr>
          </w:pPr>
          <w:r>
            <w:rPr>
              <w:rFonts w:ascii="Times New Roman" w:hAnsi="Times New Roman"/>
              <w:sz w:val="24"/>
              <w:szCs w:val="24"/>
            </w:rPr>
            <w:t>应符合GB 4404.2的要求。</w:t>
          </w:r>
        </w:p>
        <w:p w14:paraId="26717D67">
          <w:pPr>
            <w:pStyle w:val="238"/>
            <w:numPr>
              <w:ilvl w:val="2"/>
              <w:numId w:val="33"/>
            </w:numPr>
            <w:spacing w:before="40" w:beforeAutospacing="0" w:after="0" w:afterAutospacing="0" w:line="360" w:lineRule="auto"/>
            <w:rPr>
              <w:b/>
              <w:bCs/>
            </w:rPr>
          </w:pPr>
          <w:r>
            <w:rPr>
              <w:rFonts w:hint="eastAsia"/>
              <w:b/>
              <w:bCs/>
            </w:rPr>
            <w:t>种子处理</w:t>
          </w:r>
        </w:p>
        <w:p w14:paraId="4A287BAE">
          <w:pPr>
            <w:spacing w:line="360" w:lineRule="auto"/>
            <w:ind w:firstLine="480" w:firstLineChars="200"/>
            <w:rPr>
              <w:rFonts w:ascii="Times New Roman" w:hAnsi="Times New Roman"/>
              <w:sz w:val="24"/>
              <w:szCs w:val="24"/>
            </w:rPr>
          </w:pPr>
          <w:r>
            <w:rPr>
              <w:rFonts w:ascii="Times New Roman" w:hAnsi="Times New Roman"/>
              <w:sz w:val="24"/>
              <w:szCs w:val="24"/>
            </w:rPr>
            <w:t>可对精选后的种子进行包衣处理，种子包衣应符合GB/T 15671的要求。</w:t>
          </w:r>
        </w:p>
        <w:p w14:paraId="77ED32C0">
          <w:pPr>
            <w:pStyle w:val="238"/>
            <w:numPr>
              <w:ilvl w:val="1"/>
              <w:numId w:val="33"/>
            </w:numPr>
            <w:spacing w:before="40" w:beforeAutospacing="0" w:after="0" w:afterAutospacing="0" w:line="360" w:lineRule="auto"/>
            <w:rPr>
              <w:rFonts w:ascii="黑体" w:hAnsi="黑体" w:eastAsia="黑体"/>
              <w:color w:val="000000"/>
              <w:sz w:val="28"/>
              <w:szCs w:val="28"/>
            </w:rPr>
          </w:pPr>
          <w:r>
            <w:rPr>
              <w:rFonts w:hint="eastAsia" w:ascii="黑体" w:hAnsi="黑体" w:eastAsia="黑体"/>
              <w:color w:val="000000"/>
              <w:sz w:val="28"/>
              <w:szCs w:val="28"/>
            </w:rPr>
            <w:t>播种</w:t>
          </w:r>
        </w:p>
        <w:p w14:paraId="6733C2FC">
          <w:pPr>
            <w:pStyle w:val="238"/>
            <w:numPr>
              <w:ilvl w:val="2"/>
              <w:numId w:val="33"/>
            </w:numPr>
            <w:spacing w:before="40" w:beforeAutospacing="0" w:after="0" w:afterAutospacing="0" w:line="432" w:lineRule="auto"/>
            <w:rPr>
              <w:b/>
              <w:bCs/>
            </w:rPr>
          </w:pPr>
          <w:r>
            <w:rPr>
              <w:rFonts w:hint="eastAsia"/>
              <w:b/>
              <w:bCs/>
            </w:rPr>
            <w:t>播种期</w:t>
          </w:r>
        </w:p>
        <w:p w14:paraId="051F91BD">
          <w:pPr>
            <w:spacing w:line="432" w:lineRule="auto"/>
            <w:ind w:firstLine="480" w:firstLineChars="200"/>
            <w:rPr>
              <w:rFonts w:ascii="Times New Roman" w:hAnsi="Times New Roman"/>
              <w:sz w:val="24"/>
              <w:szCs w:val="24"/>
            </w:rPr>
          </w:pPr>
          <w:r>
            <w:rPr>
              <w:rFonts w:ascii="Times New Roman" w:hAnsi="Times New Roman"/>
              <w:sz w:val="24"/>
              <w:szCs w:val="24"/>
            </w:rPr>
            <w:t>复播大豆播种应于6月底至7月初进行，北疆地区不宜超过7月10日。</w:t>
          </w:r>
        </w:p>
        <w:p w14:paraId="64943468">
          <w:pPr>
            <w:pStyle w:val="238"/>
            <w:numPr>
              <w:ilvl w:val="2"/>
              <w:numId w:val="33"/>
            </w:numPr>
            <w:spacing w:before="40" w:beforeAutospacing="0" w:after="0" w:afterAutospacing="0" w:line="432" w:lineRule="auto"/>
            <w:rPr>
              <w:b/>
              <w:bCs/>
            </w:rPr>
          </w:pPr>
          <w:r>
            <w:rPr>
              <w:rFonts w:hint="eastAsia"/>
              <w:b/>
              <w:bCs/>
            </w:rPr>
            <w:t>免耕精播</w:t>
          </w:r>
        </w:p>
        <w:p w14:paraId="19701374">
          <w:pPr>
            <w:spacing w:line="432" w:lineRule="auto"/>
            <w:ind w:firstLine="480" w:firstLineChars="200"/>
            <w:rPr>
              <w:rFonts w:ascii="Times New Roman" w:hAnsi="Times New Roman"/>
              <w:sz w:val="24"/>
              <w:szCs w:val="24"/>
            </w:rPr>
          </w:pPr>
          <w:r>
            <w:rPr>
              <w:rFonts w:ascii="Times New Roman" w:hAnsi="Times New Roman"/>
              <w:sz w:val="24"/>
              <w:szCs w:val="24"/>
            </w:rPr>
            <w:t>宜采用原茬地免耕覆秸精量播种机播种，如：2BQM-12气吸式茬地免耕精量播种机、2MBJF-8D/2MBJF-12D免耕精量播种机</w:t>
          </w:r>
          <w:r>
            <w:rPr>
              <w:rFonts w:hint="eastAsia" w:ascii="Times New Roman" w:hAnsi="Times New Roman"/>
              <w:sz w:val="24"/>
              <w:szCs w:val="24"/>
            </w:rPr>
            <w:t>。机械一般采用机械窝眼轮式排种器，一组链传动对应一组株距，株距4</w:t>
          </w:r>
          <w:r>
            <w:rPr>
              <w:rFonts w:ascii="Times New Roman" w:hAnsi="Times New Roman"/>
              <w:sz w:val="24"/>
              <w:szCs w:val="24"/>
            </w:rPr>
            <w:t>0mm～120mm</w:t>
          </w:r>
          <w:r>
            <w:rPr>
              <w:rFonts w:hint="eastAsia" w:ascii="Times New Roman" w:hAnsi="Times New Roman"/>
              <w:sz w:val="24"/>
              <w:szCs w:val="24"/>
            </w:rPr>
            <w:t>可调，精量下种，0</w:t>
          </w:r>
          <w:r>
            <w:rPr>
              <w:rFonts w:ascii="Times New Roman" w:hAnsi="Times New Roman"/>
              <w:sz w:val="24"/>
              <w:szCs w:val="24"/>
            </w:rPr>
            <w:t>.5cm</w:t>
          </w:r>
          <w:r>
            <w:rPr>
              <w:rFonts w:hint="eastAsia" w:ascii="Times New Roman" w:hAnsi="Times New Roman"/>
              <w:sz w:val="24"/>
              <w:szCs w:val="24"/>
            </w:rPr>
            <w:t>为一个标准调节间距，常用的株距4</w:t>
          </w:r>
          <w:r>
            <w:rPr>
              <w:rFonts w:ascii="Times New Roman" w:hAnsi="Times New Roman"/>
              <w:sz w:val="24"/>
              <w:szCs w:val="24"/>
            </w:rPr>
            <w:t>.5 cm</w:t>
          </w:r>
          <w:r>
            <w:rPr>
              <w:rFonts w:hint="eastAsia" w:ascii="Times New Roman" w:hAnsi="Times New Roman"/>
              <w:sz w:val="24"/>
              <w:szCs w:val="24"/>
            </w:rPr>
            <w:t>、</w:t>
          </w:r>
          <w:r>
            <w:rPr>
              <w:rFonts w:ascii="Times New Roman" w:hAnsi="Times New Roman"/>
              <w:sz w:val="24"/>
              <w:szCs w:val="24"/>
            </w:rPr>
            <w:t>5.0 cm</w:t>
          </w:r>
          <w:r>
            <w:rPr>
              <w:rFonts w:hint="eastAsia" w:ascii="Times New Roman" w:hAnsi="Times New Roman"/>
              <w:sz w:val="24"/>
              <w:szCs w:val="24"/>
            </w:rPr>
            <w:t>。</w:t>
          </w:r>
          <w:r>
            <w:rPr>
              <w:rFonts w:ascii="Times New Roman" w:hAnsi="Times New Roman"/>
              <w:sz w:val="24"/>
              <w:szCs w:val="24"/>
            </w:rPr>
            <w:t>作业速度5 km/h～6 km/h，播种深度2 cm～3 cm，行距30 cm，</w:t>
          </w:r>
          <w:r>
            <w:rPr>
              <w:rFonts w:hint="eastAsia" w:ascii="Times New Roman" w:hAnsi="Times New Roman"/>
              <w:sz w:val="24"/>
              <w:szCs w:val="24"/>
            </w:rPr>
            <w:t>1穴1粒，理论穴数</w:t>
          </w:r>
          <w:r>
            <w:rPr>
              <w:rFonts w:ascii="Times New Roman" w:hAnsi="Times New Roman"/>
              <w:sz w:val="24"/>
              <w:szCs w:val="24"/>
            </w:rPr>
            <w:t>4.4万株/</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～4.9万株/</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hint="eastAsia" w:ascii="Times New Roman" w:hAnsi="Times New Roman"/>
              <w:sz w:val="24"/>
              <w:szCs w:val="24"/>
            </w:rPr>
            <w:t>，</w:t>
          </w:r>
          <w:r>
            <w:rPr>
              <w:rFonts w:ascii="Times New Roman" w:hAnsi="Times New Roman"/>
              <w:sz w:val="24"/>
              <w:szCs w:val="24"/>
            </w:rPr>
            <w:t>收获株数3.2 万株/</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～4.0万株/</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w:t>
          </w:r>
        </w:p>
        <w:p w14:paraId="1CEF1FB1">
          <w:pPr>
            <w:pStyle w:val="238"/>
            <w:numPr>
              <w:ilvl w:val="2"/>
              <w:numId w:val="33"/>
            </w:numPr>
            <w:spacing w:before="40" w:beforeAutospacing="0" w:after="0" w:afterAutospacing="0" w:line="432" w:lineRule="auto"/>
            <w:rPr>
              <w:b/>
              <w:bCs/>
            </w:rPr>
          </w:pPr>
          <w:r>
            <w:rPr>
              <w:rFonts w:hint="eastAsia"/>
              <w:b/>
              <w:bCs/>
            </w:rPr>
            <w:t>播种量</w:t>
          </w:r>
        </w:p>
        <w:p w14:paraId="4AE2134E">
          <w:pPr>
            <w:spacing w:line="432" w:lineRule="auto"/>
            <w:ind w:firstLine="480" w:firstLineChars="200"/>
            <w:rPr>
              <w:rFonts w:ascii="Times New Roman" w:hAnsi="Times New Roman"/>
              <w:sz w:val="24"/>
              <w:szCs w:val="24"/>
            </w:rPr>
          </w:pPr>
          <w:r>
            <w:rPr>
              <w:rFonts w:ascii="Times New Roman" w:hAnsi="Times New Roman"/>
              <w:sz w:val="24"/>
              <w:szCs w:val="24"/>
            </w:rPr>
            <w:t>根据理论株数、百粒重、种子发芽率确定种子亩用量。免耕模式亩用种量8.0 kg～10.0 kg</w:t>
          </w:r>
        </w:p>
        <w:p w14:paraId="4EF08FAB">
          <w:pPr>
            <w:pStyle w:val="238"/>
            <w:numPr>
              <w:ilvl w:val="2"/>
              <w:numId w:val="33"/>
            </w:numPr>
            <w:spacing w:before="40" w:beforeAutospacing="0" w:after="0" w:afterAutospacing="0" w:line="432" w:lineRule="auto"/>
            <w:rPr>
              <w:b/>
              <w:bCs/>
            </w:rPr>
          </w:pPr>
          <w:r>
            <w:rPr>
              <w:rFonts w:hint="eastAsia"/>
              <w:b/>
              <w:bCs/>
            </w:rPr>
            <w:t>播种质量</w:t>
          </w:r>
        </w:p>
        <w:p w14:paraId="45948745">
          <w:pPr>
            <w:spacing w:line="432" w:lineRule="auto"/>
            <w:ind w:firstLine="480" w:firstLineChars="200"/>
            <w:rPr>
              <w:rFonts w:ascii="宋体" w:hAnsi="宋体" w:cs="宋体"/>
              <w:sz w:val="24"/>
              <w:szCs w:val="24"/>
            </w:rPr>
          </w:pPr>
          <w:r>
            <w:rPr>
              <w:rFonts w:hint="eastAsia" w:ascii="宋体" w:hAnsi="宋体" w:cs="宋体"/>
              <w:sz w:val="24"/>
              <w:szCs w:val="24"/>
            </w:rPr>
            <w:t>播深一致、均匀无断条。</w:t>
          </w:r>
        </w:p>
        <w:p w14:paraId="3D4363AB">
          <w:pPr>
            <w:pStyle w:val="238"/>
            <w:numPr>
              <w:ilvl w:val="1"/>
              <w:numId w:val="33"/>
            </w:numPr>
            <w:spacing w:before="40" w:beforeAutospacing="0" w:after="0" w:afterAutospacing="0" w:line="432" w:lineRule="auto"/>
            <w:rPr>
              <w:rFonts w:ascii="黑体" w:hAnsi="黑体" w:eastAsia="黑体"/>
              <w:b/>
              <w:bCs/>
              <w:color w:val="000000"/>
              <w:sz w:val="28"/>
              <w:szCs w:val="28"/>
            </w:rPr>
          </w:pPr>
          <w:r>
            <w:rPr>
              <w:rFonts w:hint="eastAsia" w:ascii="黑体" w:hAnsi="黑体" w:eastAsia="黑体"/>
              <w:b/>
              <w:bCs/>
              <w:color w:val="000000"/>
              <w:sz w:val="28"/>
              <w:szCs w:val="28"/>
            </w:rPr>
            <w:t>施肥</w:t>
          </w:r>
        </w:p>
        <w:p w14:paraId="055C5687">
          <w:pPr>
            <w:spacing w:line="432" w:lineRule="auto"/>
            <w:ind w:firstLine="480" w:firstLineChars="200"/>
            <w:rPr>
              <w:rFonts w:asciiTheme="minorEastAsia" w:hAnsiTheme="minorEastAsia"/>
            </w:rPr>
          </w:pPr>
          <w:r>
            <w:rPr>
              <w:rFonts w:hint="eastAsia" w:ascii="宋体" w:hAnsi="宋体"/>
              <w:sz w:val="24"/>
              <w:szCs w:val="24"/>
            </w:rPr>
            <w:t>肥料的使用应符合NY/T 496的要求</w:t>
          </w:r>
          <w:r>
            <w:rPr>
              <w:rFonts w:hint="eastAsia" w:asciiTheme="minorEastAsia" w:hAnsiTheme="minorEastAsia"/>
            </w:rPr>
            <w:t>。</w:t>
          </w:r>
        </w:p>
        <w:p w14:paraId="660C23E0">
          <w:pPr>
            <w:pStyle w:val="238"/>
            <w:numPr>
              <w:ilvl w:val="2"/>
              <w:numId w:val="33"/>
            </w:numPr>
            <w:spacing w:before="40" w:beforeAutospacing="0" w:after="0" w:afterAutospacing="0" w:line="432" w:lineRule="auto"/>
            <w:rPr>
              <w:b/>
              <w:bCs/>
            </w:rPr>
          </w:pPr>
          <w:r>
            <w:rPr>
              <w:rFonts w:hint="eastAsia"/>
              <w:b/>
              <w:bCs/>
            </w:rPr>
            <w:t>随水滴施</w:t>
          </w:r>
        </w:p>
        <w:p w14:paraId="30DF2131">
          <w:pPr>
            <w:spacing w:line="432" w:lineRule="auto"/>
            <w:ind w:firstLine="480" w:firstLineChars="200"/>
            <w:rPr>
              <w:rFonts w:ascii="Times New Roman" w:hAnsi="Times New Roman"/>
              <w:sz w:val="24"/>
              <w:szCs w:val="24"/>
            </w:rPr>
          </w:pPr>
          <w:r>
            <w:rPr>
              <w:rFonts w:ascii="Times New Roman" w:hAnsi="Times New Roman"/>
              <w:sz w:val="24"/>
              <w:szCs w:val="24"/>
            </w:rPr>
            <w:t>肥料用量：尿素（约含N 46.67%）25 kg/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，磷酸一铵（</w:t>
          </w:r>
          <w:r>
            <w:rPr>
              <w:rFonts w:ascii="Times New Roman" w:hAnsi="Times New Roman"/>
              <w:color w:val="000000"/>
              <w:sz w:val="24"/>
              <w:szCs w:val="24"/>
            </w:rPr>
            <w:t>N 12%，P</w:t>
          </w:r>
          <w:r>
            <w:rPr>
              <w:rFonts w:ascii="Times New Roman" w:hAnsi="Times New Roman"/>
              <w:color w:val="000000"/>
              <w:sz w:val="24"/>
              <w:szCs w:val="24"/>
              <w:vertAlign w:val="subscript"/>
            </w:rPr>
            <w:t>2</w:t>
          </w:r>
          <w:r>
            <w:rPr>
              <w:rFonts w:ascii="Times New Roman" w:hAnsi="Times New Roman"/>
              <w:color w:val="000000"/>
              <w:sz w:val="24"/>
              <w:szCs w:val="24"/>
            </w:rPr>
            <w:t>O</w:t>
          </w:r>
          <w:r>
            <w:rPr>
              <w:rFonts w:ascii="Times New Roman" w:hAnsi="Times New Roman"/>
              <w:color w:val="000000"/>
              <w:sz w:val="24"/>
              <w:szCs w:val="24"/>
              <w:vertAlign w:val="subscript"/>
            </w:rPr>
            <w:t>5</w:t>
          </w:r>
          <w:r>
            <w:rPr>
              <w:rFonts w:ascii="Times New Roman" w:hAnsi="Times New Roman"/>
              <w:color w:val="000000"/>
              <w:sz w:val="24"/>
              <w:szCs w:val="24"/>
            </w:rPr>
            <w:t xml:space="preserve"> 61%</w:t>
          </w:r>
          <w:r>
            <w:rPr>
              <w:rFonts w:ascii="Times New Roman" w:hAnsi="Times New Roman"/>
              <w:sz w:val="24"/>
              <w:szCs w:val="24"/>
            </w:rPr>
            <w:t>）18 kg/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，硫酸钾（K</w:t>
          </w:r>
          <w:r>
            <w:rPr>
              <w:rFonts w:ascii="Times New Roman" w:hAnsi="Times New Roman"/>
              <w:sz w:val="24"/>
              <w:szCs w:val="24"/>
              <w:vertAlign w:val="subscript"/>
            </w:rPr>
            <w:t>2</w:t>
          </w:r>
          <w:r>
            <w:rPr>
              <w:rFonts w:ascii="Times New Roman" w:hAnsi="Times New Roman"/>
              <w:sz w:val="24"/>
              <w:szCs w:val="24"/>
            </w:rPr>
            <w:t>O 50%）12 kg/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。具体见下表1，</w:t>
          </w:r>
          <w:r>
            <w:rPr>
              <w:rFonts w:hint="eastAsia" w:ascii="Times New Roman" w:hAnsi="Times New Roman"/>
              <w:sz w:val="24"/>
              <w:szCs w:val="24"/>
            </w:rPr>
            <w:t>根据土壤肥力条件</w:t>
          </w:r>
          <w:r>
            <w:rPr>
              <w:rFonts w:ascii="Times New Roman" w:hAnsi="Times New Roman"/>
              <w:sz w:val="24"/>
              <w:szCs w:val="24"/>
            </w:rPr>
            <w:t>可酌情增减。</w:t>
          </w:r>
        </w:p>
        <w:p w14:paraId="680674E5">
          <w:pPr>
            <w:pStyle w:val="238"/>
            <w:numPr>
              <w:ilvl w:val="2"/>
              <w:numId w:val="33"/>
            </w:numPr>
            <w:spacing w:before="40" w:beforeAutospacing="0" w:after="0" w:afterAutospacing="0" w:line="432" w:lineRule="auto"/>
            <w:rPr>
              <w:b/>
              <w:bCs/>
            </w:rPr>
          </w:pPr>
          <w:r>
            <w:rPr>
              <w:b/>
              <w:bCs/>
            </w:rPr>
            <w:t>叶面追肥</w:t>
          </w:r>
        </w:p>
        <w:p w14:paraId="7203085C">
          <w:pPr>
            <w:spacing w:line="432" w:lineRule="auto"/>
            <w:ind w:firstLine="480" w:firstLineChars="200"/>
            <w:rPr>
              <w:rFonts w:ascii="Times New Roman" w:hAnsi="Times New Roman"/>
              <w:sz w:val="24"/>
              <w:szCs w:val="24"/>
            </w:rPr>
          </w:pPr>
          <w:r>
            <w:rPr>
              <w:rFonts w:ascii="Times New Roman" w:hAnsi="Times New Roman"/>
              <w:sz w:val="24"/>
              <w:szCs w:val="24"/>
            </w:rPr>
            <w:t>于花荚、结荚鼓粒期，叶面喷施磷酸二氢钾、尿素、钼酸铵、硫酸亚铁、多元微肥等，增加叶片营养，促进营养生长，起到保花、保荚、増粒重的作用。生育期内共喷施叶面肥3 次~4次，总计尿素200 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、磷酸二氢钾300 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、多元微肥200 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w:t>
          </w:r>
        </w:p>
        <w:p w14:paraId="113784F7">
          <w:pPr>
            <w:pStyle w:val="238"/>
            <w:numPr>
              <w:ilvl w:val="1"/>
              <w:numId w:val="33"/>
            </w:numPr>
            <w:spacing w:before="40" w:beforeAutospacing="0" w:after="0" w:afterAutospacing="0" w:line="432" w:lineRule="auto"/>
            <w:rPr>
              <w:rFonts w:ascii="黑体" w:hAnsi="黑体" w:eastAsia="黑体"/>
              <w:color w:val="000000"/>
              <w:sz w:val="28"/>
              <w:szCs w:val="28"/>
            </w:rPr>
          </w:pPr>
          <w:r>
            <w:rPr>
              <w:rFonts w:hint="eastAsia" w:ascii="黑体" w:hAnsi="黑体" w:eastAsia="黑体"/>
              <w:color w:val="000000"/>
              <w:sz w:val="28"/>
              <w:szCs w:val="28"/>
            </w:rPr>
            <w:t>灌溉</w:t>
          </w:r>
        </w:p>
        <w:p w14:paraId="6CB0BD1C">
          <w:pPr>
            <w:pStyle w:val="239"/>
            <w:spacing w:line="432"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复播大豆按照“以促为主，一促到底”的原则及时灌水施肥（</w:t>
          </w:r>
          <w:r>
            <w:rPr>
              <w:rFonts w:hint="eastAsia" w:ascii="Times New Roman" w:hAnsi="Times New Roman" w:eastAsia="宋体" w:cs="Times New Roman"/>
              <w:sz w:val="24"/>
              <w:szCs w:val="24"/>
            </w:rPr>
            <w:t>表1</w:t>
          </w:r>
          <w:r>
            <w:rPr>
              <w:rFonts w:ascii="Times New Roman" w:hAnsi="Times New Roman" w:eastAsia="宋体" w:cs="Times New Roman"/>
              <w:sz w:val="24"/>
              <w:szCs w:val="24"/>
            </w:rPr>
            <w:t>）。灌水根据土壤墒情及时灌溉，</w:t>
          </w:r>
          <w:r>
            <w:rPr>
              <w:rFonts w:hint="eastAsia" w:ascii="Times New Roman" w:hAnsi="Times New Roman" w:eastAsia="宋体" w:cs="Times New Roman"/>
              <w:sz w:val="24"/>
              <w:szCs w:val="24"/>
            </w:rPr>
            <w:t>灌水及施肥量见表1。</w:t>
          </w:r>
        </w:p>
        <w:p w14:paraId="5BEDE20B">
          <w:pPr>
            <w:spacing w:line="360" w:lineRule="auto"/>
            <w:ind w:firstLine="422" w:firstLineChars="200"/>
            <w:jc w:val="center"/>
            <w:rPr>
              <w:rFonts w:ascii="Times New Roman" w:hAnsi="Times New Roman"/>
              <w:b/>
              <w:bCs/>
              <w:color w:val="000000"/>
            </w:rPr>
          </w:pPr>
          <w:r>
            <w:rPr>
              <w:rFonts w:hint="eastAsia" w:ascii="Times New Roman" w:hAnsi="Times New Roman"/>
              <w:b/>
              <w:bCs/>
              <w:color w:val="000000"/>
            </w:rPr>
            <w:t>复播灌水施肥：表1</w:t>
          </w:r>
        </w:p>
        <w:p w14:paraId="37169C74">
          <w:pPr>
            <w:pStyle w:val="239"/>
            <w:spacing w:line="360" w:lineRule="auto"/>
            <w:ind w:firstLine="360"/>
            <w:jc w:val="center"/>
            <w:rPr>
              <w:rFonts w:ascii="Times New Roman" w:hAnsi="Times New Roman" w:eastAsia="宋体" w:cs="Times New Roman"/>
              <w:sz w:val="18"/>
              <w:szCs w:val="18"/>
            </w:rPr>
          </w:pPr>
        </w:p>
        <w:tbl>
          <w:tblPr>
            <w:tblStyle w:val="28"/>
            <w:tblW w:w="4903" w:type="pct"/>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12"/>
            <w:gridCol w:w="1324"/>
            <w:gridCol w:w="1429"/>
            <w:gridCol w:w="941"/>
            <w:gridCol w:w="1484"/>
            <w:gridCol w:w="1337"/>
            <w:gridCol w:w="1191"/>
          </w:tblGrid>
          <w:tr w14:paraId="343F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355" w:type="pct"/>
                <w:vAlign w:val="center"/>
              </w:tcPr>
              <w:p w14:paraId="71CC0861">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灌溉次数</w:t>
                </w:r>
              </w:p>
            </w:tc>
            <w:tc>
              <w:tcPr>
                <w:tcW w:w="539" w:type="pct"/>
                <w:vAlign w:val="center"/>
              </w:tcPr>
              <w:p w14:paraId="7158EA7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生育</w:t>
                </w:r>
              </w:p>
              <w:p w14:paraId="38EE04F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时期</w:t>
                </w:r>
              </w:p>
            </w:tc>
            <w:tc>
              <w:tcPr>
                <w:tcW w:w="705" w:type="pct"/>
                <w:vAlign w:val="center"/>
              </w:tcPr>
              <w:p w14:paraId="1258121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灌水时间</w:t>
                </w:r>
              </w:p>
              <w:p w14:paraId="1B6A684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（苗后天数）</w:t>
                </w:r>
              </w:p>
            </w:tc>
            <w:tc>
              <w:tcPr>
                <w:tcW w:w="761" w:type="pct"/>
                <w:vAlign w:val="center"/>
              </w:tcPr>
              <w:p w14:paraId="7E6D52A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灌水量</w:t>
                </w:r>
              </w:p>
              <w:p w14:paraId="69D33C2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m</w:t>
                </w:r>
                <w:r>
                  <w:rPr>
                    <w:rFonts w:ascii="Times New Roman" w:hAnsi="Times New Roman"/>
                    <w:color w:val="000000" w:themeColor="text1"/>
                    <w:sz w:val="24"/>
                    <w:szCs w:val="24"/>
                    <w:vertAlign w:val="superscript"/>
                    <w14:textFill>
                      <w14:solidFill>
                        <w14:schemeClr w14:val="tx1"/>
                      </w14:solidFill>
                    </w14:textFill>
                  </w:rPr>
                  <w:t>3</w:t>
                </w:r>
                <w:r>
                  <w:rPr>
                    <w:rFonts w:ascii="Times New Roman" w:hAnsi="Times New Roman" w:eastAsia="仿宋_GB2312"/>
                    <w:color w:val="000000" w:themeColor="text1"/>
                    <w:sz w:val="24"/>
                    <w:szCs w:val="24"/>
                    <w14:textFill>
                      <w14:solidFill>
                        <w14:schemeClr w14:val="tx1"/>
                      </w14:solidFill>
                    </w14:textFill>
                  </w:rPr>
                  <w:t>/亩）</w:t>
                </w:r>
              </w:p>
            </w:tc>
            <w:tc>
              <w:tcPr>
                <w:tcW w:w="501" w:type="pct"/>
                <w:vAlign w:val="center"/>
              </w:tcPr>
              <w:p w14:paraId="4388DD3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滴水</w:t>
                </w:r>
              </w:p>
              <w:p w14:paraId="1EF32BC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周期</w:t>
                </w:r>
              </w:p>
              <w:p w14:paraId="0BEAC48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(d)</w:t>
                </w:r>
              </w:p>
            </w:tc>
            <w:tc>
              <w:tcPr>
                <w:tcW w:w="790" w:type="pct"/>
                <w:vAlign w:val="center"/>
              </w:tcPr>
              <w:p w14:paraId="0509D89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尿素</w:t>
                </w:r>
              </w:p>
              <w:p w14:paraId="4796CDB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(kg</w:t>
                </w:r>
                <w:r>
                  <w:rPr>
                    <w:rFonts w:ascii="Times New Roman" w:hAnsi="Times New Roman" w:eastAsia="仿宋_GB2312"/>
                    <w:color w:val="000000" w:themeColor="text1"/>
                    <w:sz w:val="24"/>
                    <w:szCs w:val="24"/>
                    <w14:textFill>
                      <w14:solidFill>
                        <w14:schemeClr w14:val="tx1"/>
                      </w14:solidFill>
                    </w14:textFill>
                  </w:rPr>
                  <w:t>/亩</w:t>
                </w:r>
                <w:r>
                  <w:rPr>
                    <w:rFonts w:ascii="Times New Roman" w:hAnsi="Times New Roman"/>
                    <w:color w:val="000000" w:themeColor="text1"/>
                    <w:sz w:val="24"/>
                    <w:szCs w:val="24"/>
                    <w14:textFill>
                      <w14:solidFill>
                        <w14:schemeClr w14:val="tx1"/>
                      </w14:solidFill>
                    </w14:textFill>
                  </w:rPr>
                  <w:t>)</w:t>
                </w:r>
              </w:p>
            </w:tc>
            <w:tc>
              <w:tcPr>
                <w:tcW w:w="712" w:type="pct"/>
                <w:vAlign w:val="center"/>
              </w:tcPr>
              <w:p w14:paraId="1A79965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磷酸</w:t>
                </w:r>
              </w:p>
              <w:p w14:paraId="040C141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一铵</w:t>
                </w:r>
              </w:p>
              <w:p w14:paraId="293352BE">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(kg</w:t>
                </w:r>
                <w:r>
                  <w:rPr>
                    <w:rFonts w:ascii="Times New Roman" w:hAnsi="Times New Roman" w:eastAsia="仿宋_GB2312"/>
                    <w:color w:val="000000" w:themeColor="text1"/>
                    <w:sz w:val="24"/>
                    <w:szCs w:val="24"/>
                    <w14:textFill>
                      <w14:solidFill>
                        <w14:schemeClr w14:val="tx1"/>
                      </w14:solidFill>
                    </w14:textFill>
                  </w:rPr>
                  <w:t>/亩</w:t>
                </w:r>
                <w:r>
                  <w:rPr>
                    <w:rFonts w:ascii="Times New Roman" w:hAnsi="Times New Roman"/>
                    <w:color w:val="000000" w:themeColor="text1"/>
                    <w:sz w:val="24"/>
                    <w:szCs w:val="24"/>
                    <w14:textFill>
                      <w14:solidFill>
                        <w14:schemeClr w14:val="tx1"/>
                      </w14:solidFill>
                    </w14:textFill>
                  </w:rPr>
                  <w:t>)</w:t>
                </w:r>
              </w:p>
            </w:tc>
            <w:tc>
              <w:tcPr>
                <w:tcW w:w="634" w:type="pct"/>
                <w:vAlign w:val="center"/>
              </w:tcPr>
              <w:p w14:paraId="05A084F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硫酸钾</w:t>
                </w:r>
              </w:p>
              <w:p w14:paraId="1C534D69">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(kg</w:t>
                </w:r>
                <w:r>
                  <w:rPr>
                    <w:rFonts w:ascii="Times New Roman" w:hAnsi="Times New Roman" w:eastAsia="仿宋_GB2312"/>
                    <w:color w:val="000000" w:themeColor="text1"/>
                    <w:sz w:val="24"/>
                    <w:szCs w:val="24"/>
                    <w14:textFill>
                      <w14:solidFill>
                        <w14:schemeClr w14:val="tx1"/>
                      </w14:solidFill>
                    </w14:textFill>
                  </w:rPr>
                  <w:t>/亩</w:t>
                </w:r>
                <w:r>
                  <w:rPr>
                    <w:rFonts w:ascii="Times New Roman" w:hAnsi="Times New Roman"/>
                    <w:color w:val="000000" w:themeColor="text1"/>
                    <w:sz w:val="24"/>
                    <w:szCs w:val="24"/>
                    <w14:textFill>
                      <w14:solidFill>
                        <w14:schemeClr w14:val="tx1"/>
                      </w14:solidFill>
                    </w14:textFill>
                  </w:rPr>
                  <w:t>)</w:t>
                </w:r>
              </w:p>
            </w:tc>
          </w:tr>
          <w:tr w14:paraId="2FF4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562533B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w:t>
                </w:r>
              </w:p>
            </w:tc>
            <w:tc>
              <w:tcPr>
                <w:tcW w:w="539" w:type="pct"/>
                <w:vAlign w:val="center"/>
              </w:tcPr>
              <w:p w14:paraId="13BF5D54">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出苗水</w:t>
                </w:r>
              </w:p>
            </w:tc>
            <w:tc>
              <w:tcPr>
                <w:tcW w:w="705" w:type="pct"/>
                <w:vAlign w:val="center"/>
              </w:tcPr>
              <w:p w14:paraId="664948CA">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c>
              <w:tcPr>
                <w:tcW w:w="761" w:type="pct"/>
                <w:vAlign w:val="center"/>
              </w:tcPr>
              <w:p w14:paraId="632E71B0">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15～20</w:t>
                </w:r>
              </w:p>
            </w:tc>
            <w:tc>
              <w:tcPr>
                <w:tcW w:w="501" w:type="pct"/>
                <w:vAlign w:val="center"/>
              </w:tcPr>
              <w:p w14:paraId="077939C1">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080F51BC">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w:t>
                </w:r>
              </w:p>
            </w:tc>
            <w:tc>
              <w:tcPr>
                <w:tcW w:w="712" w:type="pct"/>
                <w:vAlign w:val="center"/>
              </w:tcPr>
              <w:p w14:paraId="7032EBF8">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0</w:t>
                </w:r>
              </w:p>
            </w:tc>
            <w:tc>
              <w:tcPr>
                <w:tcW w:w="634" w:type="pct"/>
                <w:vAlign w:val="center"/>
              </w:tcPr>
              <w:p w14:paraId="75C8CC20">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0</w:t>
                </w:r>
              </w:p>
            </w:tc>
          </w:tr>
          <w:tr w14:paraId="116F4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55" w:type="pct"/>
                <w:vAlign w:val="center"/>
              </w:tcPr>
              <w:p w14:paraId="12A0B43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w:t>
                </w:r>
              </w:p>
            </w:tc>
            <w:tc>
              <w:tcPr>
                <w:tcW w:w="539" w:type="pct"/>
                <w:vAlign w:val="center"/>
              </w:tcPr>
              <w:p w14:paraId="55344B39">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苗期</w:t>
                </w:r>
              </w:p>
            </w:tc>
            <w:tc>
              <w:tcPr>
                <w:tcW w:w="705" w:type="pct"/>
                <w:vAlign w:val="center"/>
              </w:tcPr>
              <w:p w14:paraId="2DDB282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w:t>
                </w:r>
                <w:r>
                  <w:rPr>
                    <w:rFonts w:ascii="Times New Roman" w:hAnsi="Times New Roman" w:eastAsia="仿宋_GB2312"/>
                    <w:color w:val="000000" w:themeColor="text1"/>
                    <w:sz w:val="24"/>
                    <w:szCs w:val="24"/>
                    <w:lang w:bidi="ar"/>
                    <w14:textFill>
                      <w14:solidFill>
                        <w14:schemeClr w14:val="tx1"/>
                      </w14:solidFill>
                    </w14:textFill>
                  </w:rPr>
                  <w:t>～10</w:t>
                </w:r>
              </w:p>
            </w:tc>
            <w:tc>
              <w:tcPr>
                <w:tcW w:w="761" w:type="pct"/>
                <w:vAlign w:val="center"/>
              </w:tcPr>
              <w:p w14:paraId="28977B59">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25～30</w:t>
                </w:r>
              </w:p>
            </w:tc>
            <w:tc>
              <w:tcPr>
                <w:tcW w:w="501" w:type="pct"/>
                <w:vMerge w:val="restart"/>
                <w:vAlign w:val="center"/>
              </w:tcPr>
              <w:p w14:paraId="3DCE5D6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w:t>
                </w:r>
                <w:r>
                  <w:rPr>
                    <w:rFonts w:ascii="Times New Roman" w:hAnsi="Times New Roman" w:eastAsia="仿宋_GB2312"/>
                    <w:color w:val="000000" w:themeColor="text1"/>
                    <w:sz w:val="24"/>
                    <w:szCs w:val="24"/>
                    <w:lang w:bidi="ar"/>
                    <w14:textFill>
                      <w14:solidFill>
                        <w14:schemeClr w14:val="tx1"/>
                      </w14:solidFill>
                    </w14:textFill>
                  </w:rPr>
                  <w:t>～10</w:t>
                </w:r>
              </w:p>
            </w:tc>
            <w:tc>
              <w:tcPr>
                <w:tcW w:w="790" w:type="pct"/>
                <w:vAlign w:val="center"/>
              </w:tcPr>
              <w:p w14:paraId="531140F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w:t>
                </w:r>
              </w:p>
            </w:tc>
            <w:tc>
              <w:tcPr>
                <w:tcW w:w="712" w:type="pct"/>
                <w:vAlign w:val="center"/>
              </w:tcPr>
              <w:p w14:paraId="7268EA0C">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0</w:t>
                </w:r>
              </w:p>
            </w:tc>
            <w:tc>
              <w:tcPr>
                <w:tcW w:w="634" w:type="pct"/>
                <w:vAlign w:val="center"/>
              </w:tcPr>
              <w:p w14:paraId="2399ED23">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0</w:t>
                </w:r>
              </w:p>
            </w:tc>
          </w:tr>
          <w:tr w14:paraId="3DB9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355" w:type="pct"/>
                <w:vAlign w:val="center"/>
              </w:tcPr>
              <w:p w14:paraId="21CDFB6A">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w:t>
                </w:r>
              </w:p>
            </w:tc>
            <w:tc>
              <w:tcPr>
                <w:tcW w:w="539" w:type="pct"/>
                <w:vAlign w:val="center"/>
              </w:tcPr>
              <w:p w14:paraId="03B6D868">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苗期</w:t>
                </w:r>
              </w:p>
            </w:tc>
            <w:tc>
              <w:tcPr>
                <w:tcW w:w="705" w:type="pct"/>
                <w:vAlign w:val="center"/>
              </w:tcPr>
              <w:p w14:paraId="486A9AA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14～17</w:t>
                </w:r>
              </w:p>
            </w:tc>
            <w:tc>
              <w:tcPr>
                <w:tcW w:w="761" w:type="pct"/>
                <w:vAlign w:val="center"/>
              </w:tcPr>
              <w:p w14:paraId="2DE5B67A">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25～30</w:t>
                </w:r>
              </w:p>
            </w:tc>
            <w:tc>
              <w:tcPr>
                <w:tcW w:w="501" w:type="pct"/>
                <w:vMerge w:val="continue"/>
                <w:vAlign w:val="center"/>
              </w:tcPr>
              <w:p w14:paraId="7CA2CDCA">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63C7F290">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w:t>
                </w:r>
              </w:p>
            </w:tc>
            <w:tc>
              <w:tcPr>
                <w:tcW w:w="712" w:type="pct"/>
                <w:vAlign w:val="center"/>
              </w:tcPr>
              <w:p w14:paraId="36418FD5">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1.5</w:t>
                </w:r>
              </w:p>
            </w:tc>
            <w:tc>
              <w:tcPr>
                <w:tcW w:w="634" w:type="pct"/>
                <w:vAlign w:val="center"/>
              </w:tcPr>
              <w:p w14:paraId="5B43829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w:t>
                </w:r>
              </w:p>
            </w:tc>
          </w:tr>
          <w:tr w14:paraId="5652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49C9617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w:t>
                </w:r>
              </w:p>
            </w:tc>
            <w:tc>
              <w:tcPr>
                <w:tcW w:w="539" w:type="pct"/>
                <w:vAlign w:val="center"/>
              </w:tcPr>
              <w:p w14:paraId="49C39AC5">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分枝期</w:t>
                </w:r>
              </w:p>
            </w:tc>
            <w:tc>
              <w:tcPr>
                <w:tcW w:w="705" w:type="pct"/>
                <w:vAlign w:val="center"/>
              </w:tcPr>
              <w:p w14:paraId="6CD1633E">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21～24</w:t>
                </w:r>
              </w:p>
            </w:tc>
            <w:tc>
              <w:tcPr>
                <w:tcW w:w="761" w:type="pct"/>
                <w:vAlign w:val="center"/>
              </w:tcPr>
              <w:p w14:paraId="1A08700C">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30～35</w:t>
                </w:r>
              </w:p>
            </w:tc>
            <w:tc>
              <w:tcPr>
                <w:tcW w:w="501" w:type="pct"/>
                <w:vMerge w:val="continue"/>
                <w:vAlign w:val="center"/>
              </w:tcPr>
              <w:p w14:paraId="208977B2">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0516ACC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3</w:t>
                </w:r>
              </w:p>
            </w:tc>
            <w:tc>
              <w:tcPr>
                <w:tcW w:w="712" w:type="pct"/>
                <w:vAlign w:val="center"/>
              </w:tcPr>
              <w:p w14:paraId="65C99DB8">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2.5</w:t>
                </w:r>
              </w:p>
            </w:tc>
            <w:tc>
              <w:tcPr>
                <w:tcW w:w="634" w:type="pct"/>
                <w:vAlign w:val="center"/>
              </w:tcPr>
              <w:p w14:paraId="49DD6308">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1.5</w:t>
                </w:r>
              </w:p>
            </w:tc>
          </w:tr>
          <w:tr w14:paraId="0FBA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5" w:type="pct"/>
                <w:vAlign w:val="center"/>
              </w:tcPr>
              <w:p w14:paraId="44EF791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w:t>
                </w:r>
              </w:p>
            </w:tc>
            <w:tc>
              <w:tcPr>
                <w:tcW w:w="539" w:type="pct"/>
                <w:vAlign w:val="center"/>
              </w:tcPr>
              <w:p w14:paraId="4A334A1A">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初花期</w:t>
                </w:r>
              </w:p>
            </w:tc>
            <w:tc>
              <w:tcPr>
                <w:tcW w:w="705" w:type="pct"/>
                <w:vAlign w:val="center"/>
              </w:tcPr>
              <w:p w14:paraId="572B5C2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28～31</w:t>
                </w:r>
              </w:p>
            </w:tc>
            <w:tc>
              <w:tcPr>
                <w:tcW w:w="761" w:type="pct"/>
                <w:vAlign w:val="center"/>
              </w:tcPr>
              <w:p w14:paraId="1781DAF6">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30～35</w:t>
                </w:r>
              </w:p>
            </w:tc>
            <w:tc>
              <w:tcPr>
                <w:tcW w:w="501" w:type="pct"/>
                <w:vMerge w:val="continue"/>
                <w:vAlign w:val="center"/>
              </w:tcPr>
              <w:p w14:paraId="2C63F239">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2193365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4</w:t>
                </w:r>
              </w:p>
            </w:tc>
            <w:tc>
              <w:tcPr>
                <w:tcW w:w="712" w:type="pct"/>
                <w:vAlign w:val="center"/>
              </w:tcPr>
              <w:p w14:paraId="794B8A60">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3</w:t>
                </w:r>
              </w:p>
            </w:tc>
            <w:tc>
              <w:tcPr>
                <w:tcW w:w="634" w:type="pct"/>
                <w:vAlign w:val="center"/>
              </w:tcPr>
              <w:p w14:paraId="5BDCD24A">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w:t>
                </w:r>
              </w:p>
            </w:tc>
          </w:tr>
          <w:tr w14:paraId="5D8EE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0722E78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w:t>
                </w:r>
              </w:p>
            </w:tc>
            <w:tc>
              <w:tcPr>
                <w:tcW w:w="539" w:type="pct"/>
                <w:vAlign w:val="center"/>
              </w:tcPr>
              <w:p w14:paraId="14203011">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花期</w:t>
                </w:r>
              </w:p>
            </w:tc>
            <w:tc>
              <w:tcPr>
                <w:tcW w:w="705" w:type="pct"/>
                <w:vAlign w:val="center"/>
              </w:tcPr>
              <w:p w14:paraId="29F9C2E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35～38</w:t>
                </w:r>
              </w:p>
            </w:tc>
            <w:tc>
              <w:tcPr>
                <w:tcW w:w="761" w:type="pct"/>
                <w:vAlign w:val="center"/>
              </w:tcPr>
              <w:p w14:paraId="04DF1FE8">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30～35</w:t>
                </w:r>
              </w:p>
            </w:tc>
            <w:tc>
              <w:tcPr>
                <w:tcW w:w="501" w:type="pct"/>
                <w:vMerge w:val="continue"/>
                <w:vAlign w:val="center"/>
              </w:tcPr>
              <w:p w14:paraId="15CA73CD">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6CE1A02D">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4</w:t>
                </w:r>
              </w:p>
            </w:tc>
            <w:tc>
              <w:tcPr>
                <w:tcW w:w="712" w:type="pct"/>
                <w:vAlign w:val="center"/>
              </w:tcPr>
              <w:p w14:paraId="48ED58B2">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3</w:t>
                </w:r>
              </w:p>
            </w:tc>
            <w:tc>
              <w:tcPr>
                <w:tcW w:w="634" w:type="pct"/>
                <w:vAlign w:val="center"/>
              </w:tcPr>
              <w:p w14:paraId="24F95025">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w:t>
                </w:r>
              </w:p>
            </w:tc>
          </w:tr>
          <w:tr w14:paraId="1670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00673DDB">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w:t>
                </w:r>
              </w:p>
            </w:tc>
            <w:tc>
              <w:tcPr>
                <w:tcW w:w="539" w:type="pct"/>
                <w:vAlign w:val="center"/>
              </w:tcPr>
              <w:p w14:paraId="1390256B">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始荚期</w:t>
                </w:r>
              </w:p>
            </w:tc>
            <w:tc>
              <w:tcPr>
                <w:tcW w:w="705" w:type="pct"/>
                <w:vAlign w:val="center"/>
              </w:tcPr>
              <w:p w14:paraId="2D0605FB">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42～45</w:t>
                </w:r>
              </w:p>
            </w:tc>
            <w:tc>
              <w:tcPr>
                <w:tcW w:w="761" w:type="pct"/>
                <w:vAlign w:val="center"/>
              </w:tcPr>
              <w:p w14:paraId="089A496C">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30～35</w:t>
                </w:r>
              </w:p>
            </w:tc>
            <w:tc>
              <w:tcPr>
                <w:tcW w:w="501" w:type="pct"/>
                <w:vMerge w:val="continue"/>
                <w:vAlign w:val="center"/>
              </w:tcPr>
              <w:p w14:paraId="6E697D0A">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06446E5C">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4</w:t>
                </w:r>
              </w:p>
            </w:tc>
            <w:tc>
              <w:tcPr>
                <w:tcW w:w="712" w:type="pct"/>
                <w:vAlign w:val="center"/>
              </w:tcPr>
              <w:p w14:paraId="713D470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3</w:t>
                </w:r>
              </w:p>
            </w:tc>
            <w:tc>
              <w:tcPr>
                <w:tcW w:w="634" w:type="pct"/>
                <w:vAlign w:val="center"/>
              </w:tcPr>
              <w:p w14:paraId="30B4CDDA">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w:t>
                </w:r>
              </w:p>
            </w:tc>
          </w:tr>
          <w:tr w14:paraId="29411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0AC80E2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8</w:t>
                </w:r>
              </w:p>
            </w:tc>
            <w:tc>
              <w:tcPr>
                <w:tcW w:w="539" w:type="pct"/>
                <w:vAlign w:val="center"/>
              </w:tcPr>
              <w:p w14:paraId="74D33989">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结荚期</w:t>
                </w:r>
              </w:p>
            </w:tc>
            <w:tc>
              <w:tcPr>
                <w:tcW w:w="705" w:type="pct"/>
                <w:vAlign w:val="center"/>
              </w:tcPr>
              <w:p w14:paraId="35FD9D4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49～</w:t>
                </w:r>
                <w:r>
                  <w:rPr>
                    <w:rStyle w:val="243"/>
                    <w:rFonts w:hint="default" w:ascii="Times New Roman" w:hAnsi="Times New Roman" w:eastAsia="仿宋_GB2312" w:cs="Times New Roman"/>
                    <w:color w:val="000000" w:themeColor="text1"/>
                    <w:sz w:val="24"/>
                    <w:szCs w:val="24"/>
                    <w:lang w:bidi="ar"/>
                    <w14:textFill>
                      <w14:solidFill>
                        <w14:schemeClr w14:val="tx1"/>
                      </w14:solidFill>
                    </w14:textFill>
                  </w:rPr>
                  <w:t>52</w:t>
                </w:r>
              </w:p>
            </w:tc>
            <w:tc>
              <w:tcPr>
                <w:tcW w:w="761" w:type="pct"/>
                <w:vAlign w:val="center"/>
              </w:tcPr>
              <w:p w14:paraId="7C379161">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25～30</w:t>
                </w:r>
              </w:p>
            </w:tc>
            <w:tc>
              <w:tcPr>
                <w:tcW w:w="501" w:type="pct"/>
                <w:vMerge w:val="continue"/>
                <w:vAlign w:val="center"/>
              </w:tcPr>
              <w:p w14:paraId="7AF310DC">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4EDC07E0">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3</w:t>
                </w:r>
              </w:p>
            </w:tc>
            <w:tc>
              <w:tcPr>
                <w:tcW w:w="712" w:type="pct"/>
                <w:vAlign w:val="center"/>
              </w:tcPr>
              <w:p w14:paraId="6BBE39B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2.5</w:t>
                </w:r>
              </w:p>
            </w:tc>
            <w:tc>
              <w:tcPr>
                <w:tcW w:w="634" w:type="pct"/>
                <w:vAlign w:val="center"/>
              </w:tcPr>
              <w:p w14:paraId="2BE2C0EA">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1.5</w:t>
                </w:r>
              </w:p>
            </w:tc>
          </w:tr>
          <w:tr w14:paraId="64CC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28225B7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9</w:t>
                </w:r>
              </w:p>
            </w:tc>
            <w:tc>
              <w:tcPr>
                <w:tcW w:w="539" w:type="pct"/>
                <w:vAlign w:val="center"/>
              </w:tcPr>
              <w:p w14:paraId="286DE5A0">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始粒期</w:t>
                </w:r>
              </w:p>
            </w:tc>
            <w:tc>
              <w:tcPr>
                <w:tcW w:w="705" w:type="pct"/>
                <w:vAlign w:val="center"/>
              </w:tcPr>
              <w:p w14:paraId="72FBE5A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56～59</w:t>
                </w:r>
              </w:p>
            </w:tc>
            <w:tc>
              <w:tcPr>
                <w:tcW w:w="761" w:type="pct"/>
                <w:vAlign w:val="center"/>
              </w:tcPr>
              <w:p w14:paraId="7221CB3C">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25～30</w:t>
                </w:r>
              </w:p>
            </w:tc>
            <w:tc>
              <w:tcPr>
                <w:tcW w:w="501" w:type="pct"/>
                <w:vMerge w:val="continue"/>
                <w:vAlign w:val="center"/>
              </w:tcPr>
              <w:p w14:paraId="3BB7DD02">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6CC46857">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3</w:t>
                </w:r>
              </w:p>
            </w:tc>
            <w:tc>
              <w:tcPr>
                <w:tcW w:w="712" w:type="pct"/>
                <w:vAlign w:val="center"/>
              </w:tcPr>
              <w:p w14:paraId="0B58AFE8">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2.5</w:t>
                </w:r>
              </w:p>
            </w:tc>
            <w:tc>
              <w:tcPr>
                <w:tcW w:w="634" w:type="pct"/>
                <w:vAlign w:val="center"/>
              </w:tcPr>
              <w:p w14:paraId="2F20A40F">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1.5</w:t>
                </w:r>
              </w:p>
            </w:tc>
          </w:tr>
          <w:tr w14:paraId="135B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355" w:type="pct"/>
                <w:vAlign w:val="center"/>
              </w:tcPr>
              <w:p w14:paraId="0A14034B">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10</w:t>
                </w:r>
              </w:p>
            </w:tc>
            <w:tc>
              <w:tcPr>
                <w:tcW w:w="539" w:type="pct"/>
                <w:vAlign w:val="center"/>
              </w:tcPr>
              <w:p w14:paraId="07A952F7">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鼓粒期</w:t>
                </w:r>
              </w:p>
            </w:tc>
            <w:tc>
              <w:tcPr>
                <w:tcW w:w="705" w:type="pct"/>
                <w:vAlign w:val="center"/>
              </w:tcPr>
              <w:p w14:paraId="34A266B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63～69</w:t>
                </w:r>
              </w:p>
            </w:tc>
            <w:tc>
              <w:tcPr>
                <w:tcW w:w="761" w:type="pct"/>
                <w:vAlign w:val="center"/>
              </w:tcPr>
              <w:p w14:paraId="5F55DBEA">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15～20</w:t>
                </w:r>
              </w:p>
            </w:tc>
            <w:tc>
              <w:tcPr>
                <w:tcW w:w="501" w:type="pct"/>
                <w:vMerge w:val="continue"/>
                <w:vAlign w:val="center"/>
              </w:tcPr>
              <w:p w14:paraId="4A8CC9EE">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4E905329">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w:t>
                </w:r>
              </w:p>
            </w:tc>
            <w:tc>
              <w:tcPr>
                <w:tcW w:w="712" w:type="pct"/>
                <w:vAlign w:val="center"/>
              </w:tcPr>
              <w:p w14:paraId="778F813A">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0</w:t>
                </w:r>
              </w:p>
            </w:tc>
            <w:tc>
              <w:tcPr>
                <w:tcW w:w="634" w:type="pct"/>
                <w:vAlign w:val="center"/>
              </w:tcPr>
              <w:p w14:paraId="1AAB7298">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0</w:t>
                </w:r>
              </w:p>
            </w:tc>
          </w:tr>
          <w:tr w14:paraId="1924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355" w:type="pct"/>
                <w:vAlign w:val="center"/>
              </w:tcPr>
              <w:p w14:paraId="5872C1BE">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11</w:t>
                </w:r>
              </w:p>
            </w:tc>
            <w:tc>
              <w:tcPr>
                <w:tcW w:w="539" w:type="pct"/>
                <w:vAlign w:val="center"/>
              </w:tcPr>
              <w:p w14:paraId="7D6BBA8F">
                <w:pPr>
                  <w:widowControl/>
                  <w:jc w:val="center"/>
                  <w:textAlignment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kern w:val="0"/>
                    <w:sz w:val="24"/>
                    <w:szCs w:val="24"/>
                    <w:lang w:bidi="ar"/>
                  </w:rPr>
                  <w:t>鼓粒期</w:t>
                </w:r>
              </w:p>
            </w:tc>
            <w:tc>
              <w:tcPr>
                <w:tcW w:w="705" w:type="pct"/>
                <w:vAlign w:val="center"/>
              </w:tcPr>
              <w:p w14:paraId="406B18C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70</w:t>
                </w:r>
                <w:r>
                  <w:rPr>
                    <w:rFonts w:ascii="Times New Roman" w:hAnsi="Times New Roman" w:eastAsia="仿宋_GB2312"/>
                    <w:color w:val="000000" w:themeColor="text1"/>
                    <w:sz w:val="24"/>
                    <w:szCs w:val="24"/>
                    <w:lang w:bidi="ar"/>
                    <w14:textFill>
                      <w14:solidFill>
                        <w14:schemeClr w14:val="tx1"/>
                      </w14:solidFill>
                    </w14:textFill>
                  </w:rPr>
                  <w:t>～</w:t>
                </w:r>
              </w:p>
            </w:tc>
            <w:tc>
              <w:tcPr>
                <w:tcW w:w="761" w:type="pct"/>
                <w:vAlign w:val="center"/>
              </w:tcPr>
              <w:p w14:paraId="13803608">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酌情补水</w:t>
                </w:r>
              </w:p>
            </w:tc>
            <w:tc>
              <w:tcPr>
                <w:tcW w:w="501" w:type="pct"/>
                <w:vMerge w:val="continue"/>
                <w:vAlign w:val="center"/>
              </w:tcPr>
              <w:p w14:paraId="678DDB2D">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2BED7A09">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0</w:t>
                </w:r>
              </w:p>
            </w:tc>
            <w:tc>
              <w:tcPr>
                <w:tcW w:w="712" w:type="pct"/>
                <w:vAlign w:val="center"/>
              </w:tcPr>
              <w:p w14:paraId="105ABA0A">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0</w:t>
                </w:r>
              </w:p>
            </w:tc>
            <w:tc>
              <w:tcPr>
                <w:tcW w:w="634" w:type="pct"/>
                <w:vAlign w:val="center"/>
              </w:tcPr>
              <w:p w14:paraId="1641661D">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0</w:t>
                </w:r>
              </w:p>
            </w:tc>
          </w:tr>
          <w:tr w14:paraId="3CEE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55" w:type="pct"/>
                <w:vAlign w:val="center"/>
              </w:tcPr>
              <w:p w14:paraId="72CA2BCA">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合计</w:t>
                </w:r>
              </w:p>
            </w:tc>
            <w:tc>
              <w:tcPr>
                <w:tcW w:w="539" w:type="pct"/>
                <w:vAlign w:val="center"/>
              </w:tcPr>
              <w:p w14:paraId="5EA9B25B">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05" w:type="pct"/>
                <w:vAlign w:val="center"/>
              </w:tcPr>
              <w:p w14:paraId="65B7FF47">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61" w:type="pct"/>
                <w:vAlign w:val="center"/>
              </w:tcPr>
              <w:p w14:paraId="33746A1C">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250</w:t>
                </w:r>
                <w:r>
                  <w:rPr>
                    <w:rFonts w:ascii="Times New Roman" w:hAnsi="Times New Roman" w:eastAsia="仿宋_GB2312"/>
                    <w:color w:val="000000" w:themeColor="text1"/>
                    <w:sz w:val="24"/>
                    <w:szCs w:val="24"/>
                    <w:lang w:bidi="ar"/>
                    <w14:textFill>
                      <w14:solidFill>
                        <w14:schemeClr w14:val="tx1"/>
                      </w14:solidFill>
                    </w14:textFill>
                  </w:rPr>
                  <w:t>～</w:t>
                </w:r>
                <w:r>
                  <w:rPr>
                    <w:rFonts w:ascii="Times New Roman" w:hAnsi="Times New Roman" w:eastAsia="仿宋_GB2312"/>
                    <w:color w:val="000000" w:themeColor="text1"/>
                    <w:sz w:val="24"/>
                    <w:szCs w:val="24"/>
                    <w14:textFill>
                      <w14:solidFill>
                        <w14:schemeClr w14:val="tx1"/>
                      </w14:solidFill>
                    </w14:textFill>
                  </w:rPr>
                  <w:t>300</w:t>
                </w:r>
              </w:p>
            </w:tc>
            <w:tc>
              <w:tcPr>
                <w:tcW w:w="501" w:type="pct"/>
                <w:vAlign w:val="center"/>
              </w:tcPr>
              <w:p w14:paraId="07DE6678">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49E7BEFA">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25</w:t>
                </w:r>
              </w:p>
            </w:tc>
            <w:tc>
              <w:tcPr>
                <w:tcW w:w="712" w:type="pct"/>
                <w:vAlign w:val="center"/>
              </w:tcPr>
              <w:p w14:paraId="454BBBA1">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18</w:t>
                </w:r>
              </w:p>
            </w:tc>
            <w:tc>
              <w:tcPr>
                <w:tcW w:w="634" w:type="pct"/>
                <w:vAlign w:val="center"/>
              </w:tcPr>
              <w:p w14:paraId="582D8362">
                <w:pPr>
                  <w:pStyle w:val="239"/>
                  <w:spacing w:line="360" w:lineRule="auto"/>
                  <w:ind w:firstLine="440"/>
                  <w:jc w:val="lef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宋体" w:cs="Times New Roman"/>
                    <w:sz w:val="22"/>
                  </w:rPr>
                  <w:t>11.5</w:t>
                </w:r>
              </w:p>
            </w:tc>
          </w:tr>
        </w:tbl>
        <w:p w14:paraId="16A329D9">
          <w:pPr>
            <w:pStyle w:val="239"/>
            <w:spacing w:line="360" w:lineRule="auto"/>
            <w:ind w:firstLine="360"/>
            <w:jc w:val="center"/>
            <w:rPr>
              <w:rFonts w:ascii="Times New Roman" w:hAnsi="Times New Roman" w:eastAsia="宋体" w:cs="Times New Roman"/>
              <w:sz w:val="18"/>
              <w:szCs w:val="18"/>
            </w:rPr>
          </w:pPr>
        </w:p>
        <w:p w14:paraId="4A61F8DC">
          <w:pPr>
            <w:pStyle w:val="238"/>
            <w:numPr>
              <w:ilvl w:val="1"/>
              <w:numId w:val="33"/>
            </w:numPr>
            <w:spacing w:before="40" w:beforeAutospacing="0" w:after="0" w:afterAutospacing="0" w:line="360" w:lineRule="auto"/>
            <w:rPr>
              <w:rFonts w:ascii="黑体" w:hAnsi="黑体" w:eastAsia="黑体"/>
              <w:b/>
              <w:bCs/>
              <w:color w:val="000000"/>
              <w:sz w:val="28"/>
              <w:szCs w:val="28"/>
            </w:rPr>
          </w:pPr>
          <w:r>
            <w:rPr>
              <w:rFonts w:hint="eastAsia" w:ascii="黑体" w:hAnsi="黑体" w:eastAsia="黑体"/>
              <w:b/>
              <w:bCs/>
              <w:color w:val="000000"/>
              <w:sz w:val="28"/>
              <w:szCs w:val="28"/>
            </w:rPr>
            <w:t>病虫草害防治</w:t>
          </w:r>
        </w:p>
        <w:p w14:paraId="4A2933B8">
          <w:pPr>
            <w:pStyle w:val="238"/>
            <w:numPr>
              <w:ilvl w:val="2"/>
              <w:numId w:val="33"/>
            </w:numPr>
            <w:spacing w:before="40" w:beforeAutospacing="0" w:after="0" w:afterAutospacing="0" w:line="360" w:lineRule="auto"/>
            <w:rPr>
              <w:b/>
              <w:bCs/>
            </w:rPr>
          </w:pPr>
          <w:r>
            <w:rPr>
              <w:rFonts w:hint="eastAsia"/>
              <w:b/>
              <w:bCs/>
            </w:rPr>
            <w:t>播后苗前土壤封闭</w:t>
          </w:r>
        </w:p>
        <w:p w14:paraId="6A089B98">
          <w:pPr>
            <w:spacing w:line="360" w:lineRule="auto"/>
            <w:ind w:firstLine="480" w:firstLineChars="200"/>
            <w:rPr>
              <w:rFonts w:ascii="Times New Roman" w:hAnsi="Times New Roman"/>
              <w:sz w:val="24"/>
              <w:szCs w:val="24"/>
            </w:rPr>
          </w:pPr>
          <w:r>
            <w:rPr>
              <w:rFonts w:ascii="Times New Roman" w:hAnsi="Times New Roman"/>
              <w:sz w:val="24"/>
              <w:szCs w:val="24"/>
            </w:rPr>
            <w:t>免耕地块原生大草较多时，在播种后、滴出苗水前及时喷洒灭生性除草剂100 ml/</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草甘磷复配150 ml/</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二甲戊灵土壤封闭剂，兑水30 kg/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～40 kg/</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sz w:val="24"/>
              <w:szCs w:val="24"/>
            </w:rPr>
            <w:t>喷施</w:t>
          </w:r>
          <w:r>
            <w:rPr>
              <w:rFonts w:ascii="Times New Roman" w:hAnsi="Times New Roman"/>
              <w:color w:val="0000FF"/>
              <w:sz w:val="24"/>
              <w:szCs w:val="24"/>
            </w:rPr>
            <w:t>。</w:t>
          </w:r>
        </w:p>
        <w:p w14:paraId="147AC5C1">
          <w:pPr>
            <w:pStyle w:val="238"/>
            <w:numPr>
              <w:ilvl w:val="2"/>
              <w:numId w:val="33"/>
            </w:numPr>
            <w:spacing w:before="40" w:beforeAutospacing="0" w:after="0" w:afterAutospacing="0" w:line="360" w:lineRule="auto"/>
            <w:rPr>
              <w:b/>
              <w:bCs/>
            </w:rPr>
          </w:pPr>
          <w:r>
            <w:rPr>
              <w:rFonts w:hint="eastAsia"/>
              <w:b/>
              <w:bCs/>
            </w:rPr>
            <w:t>苗后茎叶除草</w:t>
          </w:r>
        </w:p>
        <w:p w14:paraId="7A91F86D">
          <w:pPr>
            <w:spacing w:line="360" w:lineRule="auto"/>
            <w:ind w:firstLine="480" w:firstLineChars="200"/>
            <w:rPr>
              <w:rFonts w:ascii="Times New Roman" w:hAnsi="Times New Roman"/>
              <w:sz w:val="24"/>
              <w:szCs w:val="24"/>
            </w:rPr>
          </w:pPr>
          <w:r>
            <w:rPr>
              <w:rFonts w:ascii="Times New Roman" w:hAnsi="Times New Roman"/>
              <w:sz w:val="24"/>
              <w:szCs w:val="24"/>
            </w:rPr>
            <w:t>苗后大豆1～2复叶期，单子叶植株3～4叶，双子叶植株在2～3厘米高之前实施茎叶除草。喷药应选择中午温度较高、无风或微风的天气，喷药后8小时以内如与降雨则需重喷。推荐使用高效氟吡甲禾灵（单子叶）+灭草松钠盐（阔叶）。</w:t>
          </w:r>
        </w:p>
        <w:p w14:paraId="738F9A6F">
          <w:pPr>
            <w:pStyle w:val="238"/>
            <w:numPr>
              <w:ilvl w:val="2"/>
              <w:numId w:val="33"/>
            </w:numPr>
            <w:spacing w:before="40" w:beforeAutospacing="0" w:after="0" w:afterAutospacing="0" w:line="360" w:lineRule="auto"/>
            <w:rPr>
              <w:b/>
              <w:bCs/>
            </w:rPr>
          </w:pPr>
          <w:r>
            <w:rPr>
              <w:rFonts w:hint="eastAsia"/>
              <w:b/>
              <w:bCs/>
            </w:rPr>
            <w:t>虫害防控</w:t>
          </w:r>
        </w:p>
        <w:p w14:paraId="4EFC167F">
          <w:pPr>
            <w:spacing w:line="360" w:lineRule="auto"/>
            <w:ind w:firstLine="480" w:firstLineChars="200"/>
            <w:rPr>
              <w:rFonts w:ascii="Times New Roman" w:hAnsi="Times New Roman"/>
              <w:sz w:val="24"/>
              <w:szCs w:val="24"/>
            </w:rPr>
          </w:pPr>
          <w:r>
            <w:rPr>
              <w:rFonts w:ascii="Times New Roman" w:hAnsi="Times New Roman"/>
              <w:sz w:val="24"/>
              <w:szCs w:val="24"/>
            </w:rPr>
            <w:t>棉铃虫防治:豆田内百株卵量达到10粒或百株初龄幼虫5头时使用甲氨基阿维菌素苯甲酸盐、茚虫威、棉铃虫核型多角体病毒、氯虫苯甲酰胺、四氯虫酰胺等农药进行防治。</w:t>
          </w:r>
        </w:p>
        <w:p w14:paraId="6935BBE3">
          <w:pPr>
            <w:spacing w:line="360" w:lineRule="auto"/>
            <w:ind w:firstLine="480" w:firstLineChars="200"/>
            <w:rPr>
              <w:rFonts w:ascii="Times New Roman" w:hAnsi="Times New Roman"/>
              <w:sz w:val="24"/>
              <w:szCs w:val="24"/>
            </w:rPr>
          </w:pPr>
          <w:r>
            <w:rPr>
              <w:rFonts w:ascii="Times New Roman" w:hAnsi="Times New Roman"/>
              <w:sz w:val="24"/>
              <w:szCs w:val="24"/>
            </w:rPr>
            <w:t>甜菜夜蛾防治：建议幼虫三龄之前用药，选用配制剂：5%溴虫氟苯双酰胺+高效助剂；或茚虫威+甲维盐；或虱螨脲+唑虫酰胺。</w:t>
          </w:r>
        </w:p>
        <w:p w14:paraId="7D0DA4E6">
          <w:pPr>
            <w:spacing w:line="360" w:lineRule="auto"/>
            <w:ind w:firstLine="480" w:firstLineChars="200"/>
            <w:rPr>
              <w:rFonts w:ascii="Times New Roman" w:hAnsi="Times New Roman"/>
              <w:sz w:val="24"/>
              <w:szCs w:val="24"/>
            </w:rPr>
          </w:pPr>
          <w:r>
            <w:rPr>
              <w:rFonts w:ascii="Times New Roman" w:hAnsi="Times New Roman"/>
              <w:sz w:val="24"/>
              <w:szCs w:val="24"/>
            </w:rPr>
            <w:t>红蜘蛛防治：有螨株率达到5％应当进行全田普防，使用阿维菌素、四螨嗪、哒螨灵、噻螨酮、螺螨酯、乙螨唑、乙唑螨腈等专性杀螨剂进行防治。</w:t>
          </w:r>
        </w:p>
        <w:p w14:paraId="42062C6D">
          <w:pPr>
            <w:spacing w:line="360" w:lineRule="auto"/>
            <w:ind w:firstLine="480" w:firstLineChars="200"/>
            <w:rPr>
              <w:rFonts w:ascii="Times New Roman" w:hAnsi="Times New Roman"/>
              <w:sz w:val="24"/>
              <w:szCs w:val="24"/>
            </w:rPr>
          </w:pPr>
          <w:r>
            <w:rPr>
              <w:rFonts w:ascii="Times New Roman" w:hAnsi="Times New Roman"/>
              <w:sz w:val="24"/>
              <w:szCs w:val="24"/>
            </w:rPr>
            <w:t>蚜虫防治：对中心株和点片发生的要插好标记，可用洗尿合剂、吡蚜酮、噻虫嗪、呋虫胺、氟啶虫胺腈、氟啶虫酰胺等农药进行点片防治，严防其进一步迁飞扩散。</w:t>
          </w:r>
        </w:p>
        <w:p w14:paraId="1B36DEAC">
          <w:pPr>
            <w:pStyle w:val="238"/>
            <w:numPr>
              <w:ilvl w:val="0"/>
              <w:numId w:val="33"/>
            </w:numPr>
            <w:spacing w:before="40" w:beforeAutospacing="0" w:after="0" w:afterAutospacing="0" w:line="360" w:lineRule="auto"/>
            <w:rPr>
              <w:rFonts w:asciiTheme="minorEastAsia" w:hAnsiTheme="minorEastAsia"/>
              <w:szCs w:val="21"/>
            </w:rPr>
          </w:pPr>
          <w:r>
            <w:rPr>
              <w:rFonts w:hint="eastAsia" w:ascii="黑体" w:hAnsi="黑体" w:eastAsia="黑体"/>
              <w:b/>
              <w:bCs/>
              <w:color w:val="000000"/>
              <w:sz w:val="28"/>
              <w:szCs w:val="28"/>
            </w:rPr>
            <w:t>大豆收获</w:t>
          </w:r>
        </w:p>
        <w:p w14:paraId="29958931">
          <w:pPr>
            <w:pStyle w:val="238"/>
            <w:numPr>
              <w:ilvl w:val="1"/>
              <w:numId w:val="33"/>
            </w:numPr>
            <w:spacing w:before="40" w:beforeAutospacing="0" w:after="0" w:afterAutospacing="0" w:line="360" w:lineRule="auto"/>
            <w:rPr>
              <w:b/>
              <w:bCs/>
            </w:rPr>
          </w:pPr>
          <w:r>
            <w:rPr>
              <w:rFonts w:hint="eastAsia"/>
              <w:b/>
              <w:bCs/>
            </w:rPr>
            <w:t>收获时期</w:t>
          </w:r>
        </w:p>
        <w:p w14:paraId="7C56B4E8">
          <w:pPr>
            <w:spacing w:line="360" w:lineRule="auto"/>
            <w:ind w:firstLine="480" w:firstLineChars="200"/>
            <w:rPr>
              <w:rFonts w:ascii="Times New Roman" w:hAnsi="Times New Roman"/>
              <w:sz w:val="24"/>
              <w:szCs w:val="24"/>
            </w:rPr>
          </w:pPr>
          <w:r>
            <w:rPr>
              <w:rFonts w:ascii="Times New Roman" w:hAnsi="Times New Roman"/>
              <w:sz w:val="24"/>
              <w:szCs w:val="24"/>
            </w:rPr>
            <w:t>收获时期叶片基本落净、豆粒满圆、豆荚全干时进行收获。</w:t>
          </w:r>
        </w:p>
        <w:p w14:paraId="349BBB90">
          <w:pPr>
            <w:pStyle w:val="238"/>
            <w:numPr>
              <w:ilvl w:val="1"/>
              <w:numId w:val="33"/>
            </w:numPr>
            <w:spacing w:before="40" w:beforeAutospacing="0" w:after="0" w:afterAutospacing="0" w:line="360" w:lineRule="auto"/>
            <w:rPr>
              <w:rFonts w:asciiTheme="minorEastAsia" w:hAnsiTheme="minorEastAsia"/>
              <w:b/>
              <w:bCs/>
            </w:rPr>
          </w:pPr>
          <w:r>
            <w:rPr>
              <w:rFonts w:hint="eastAsia"/>
              <w:b/>
              <w:bCs/>
            </w:rPr>
            <w:t>收获要求</w:t>
          </w:r>
        </w:p>
        <w:p w14:paraId="2659CCC5">
          <w:pPr>
            <w:spacing w:line="360" w:lineRule="auto"/>
            <w:ind w:firstLine="480" w:firstLineChars="200"/>
            <w:rPr>
              <w:rFonts w:ascii="Times New Roman" w:hAnsi="Times New Roman"/>
              <w:sz w:val="24"/>
              <w:szCs w:val="24"/>
            </w:rPr>
          </w:pPr>
          <w:r>
            <w:rPr>
              <w:rFonts w:ascii="Times New Roman" w:hAnsi="Times New Roman"/>
              <w:sz w:val="24"/>
              <w:szCs w:val="24"/>
            </w:rPr>
            <w:t>割茬高度以不留底荚为准，不丢枝、不炸荚，损失率≤3%。秸秆还田时，秸秆粉碎均匀抛撒，秸秆长度≤10 cm。</w:t>
          </w:r>
        </w:p>
        <w:p w14:paraId="60F78137">
          <w:pPr>
            <w:spacing w:line="240" w:lineRule="auto"/>
          </w:pPr>
        </w:p>
      </w:sdtContent>
    </w:sdt>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E458A">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208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923DC">
    <w:pPr>
      <w:pStyle w:val="54"/>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2611B">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C2238">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7C1CB">
    <w:pPr>
      <w:pStyle w:val="63"/>
    </w:pPr>
    <w:r>
      <w:fldChar w:fldCharType="begin"/>
    </w:r>
    <w:r>
      <w:instrText xml:space="preserve"> STYLEREF  标准文件_文件编号  \* MERGEFORMAT </w:instrText>
    </w:r>
    <w:r>
      <w:fldChar w:fldCharType="separate"/>
    </w:r>
    <w:r>
      <w:t>DB 65/T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FD05B">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6529C"/>
    <w:multiLevelType w:val="multilevel"/>
    <w:tmpl w:val="9446529C"/>
    <w:lvl w:ilvl="0" w:tentative="0">
      <w:start w:val="1"/>
      <w:numFmt w:val="chineseCounting"/>
      <w:pStyle w:val="2"/>
      <w:suff w:val="nothing"/>
      <w:lvlText w:val="第%1章 "/>
      <w:lvlJc w:val="left"/>
      <w:pPr>
        <w:ind w:left="432" w:hanging="432"/>
      </w:pPr>
      <w:rPr>
        <w:rFonts w:hint="eastAsia"/>
      </w:rPr>
    </w:lvl>
    <w:lvl w:ilvl="1" w:tentative="0">
      <w:start w:val="1"/>
      <w:numFmt w:val="decimal"/>
      <w:pStyle w:val="3"/>
      <w:isLgl/>
      <w:lvlText w:val="%1.%2."/>
      <w:lvlJc w:val="left"/>
      <w:pPr>
        <w:ind w:left="575" w:hanging="575"/>
      </w:pPr>
      <w:rPr>
        <w:rFonts w:hint="eastAsia"/>
      </w:rPr>
    </w:lvl>
    <w:lvl w:ilvl="2" w:tentative="0">
      <w:start w:val="1"/>
      <w:numFmt w:val="decimal"/>
      <w:pStyle w:val="4"/>
      <w:isLgl/>
      <w:lvlText w:val="%1.%2.%3."/>
      <w:lvlJc w:val="left"/>
      <w:pPr>
        <w:ind w:left="720" w:hanging="720"/>
      </w:pPr>
      <w:rPr>
        <w:rFonts w:hint="eastAsia"/>
      </w:rPr>
    </w:lvl>
    <w:lvl w:ilvl="3" w:tentative="0">
      <w:start w:val="1"/>
      <w:numFmt w:val="decimal"/>
      <w:pStyle w:val="5"/>
      <w:isLgl/>
      <w:lvlText w:val="%1.%2.%3.%4."/>
      <w:lvlJc w:val="left"/>
      <w:pPr>
        <w:ind w:left="864" w:hanging="864"/>
      </w:pPr>
      <w:rPr>
        <w:rFonts w:hint="eastAsia"/>
      </w:rPr>
    </w:lvl>
    <w:lvl w:ilvl="4" w:tentative="0">
      <w:start w:val="1"/>
      <w:numFmt w:val="decimal"/>
      <w:pStyle w:val="6"/>
      <w:isLgl/>
      <w:lvlText w:val="%1.%2.%3.%4.%5."/>
      <w:lvlJc w:val="left"/>
      <w:pPr>
        <w:ind w:left="1008" w:hanging="1008"/>
      </w:pPr>
      <w:rPr>
        <w:rFonts w:hint="eastAsia"/>
      </w:rPr>
    </w:lvl>
    <w:lvl w:ilvl="5" w:tentative="0">
      <w:start w:val="1"/>
      <w:numFmt w:val="decimal"/>
      <w:pStyle w:val="7"/>
      <w:isLgl/>
      <w:lvlText w:val="%1.%2.%3.%4.%5.%6."/>
      <w:lvlJc w:val="left"/>
      <w:pPr>
        <w:ind w:left="1151" w:hanging="1151"/>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3" w:hanging="1583"/>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2931431"/>
    <w:multiLevelType w:val="multilevel"/>
    <w:tmpl w:val="6293143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237"/>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9"/>
  </w:num>
  <w:num w:numId="4">
    <w:abstractNumId w:val="6"/>
  </w:num>
  <w:num w:numId="5">
    <w:abstractNumId w:val="25"/>
  </w:num>
  <w:num w:numId="6">
    <w:abstractNumId w:val="19"/>
  </w:num>
  <w:num w:numId="7">
    <w:abstractNumId w:val="14"/>
  </w:num>
  <w:num w:numId="8">
    <w:abstractNumId w:val="9"/>
  </w:num>
  <w:num w:numId="9">
    <w:abstractNumId w:val="4"/>
  </w:num>
  <w:num w:numId="10">
    <w:abstractNumId w:val="10"/>
  </w:num>
  <w:num w:numId="11">
    <w:abstractNumId w:val="17"/>
  </w:num>
  <w:num w:numId="12">
    <w:abstractNumId w:val="27"/>
  </w:num>
  <w:num w:numId="13">
    <w:abstractNumId w:val="12"/>
  </w:num>
  <w:num w:numId="14">
    <w:abstractNumId w:val="13"/>
  </w:num>
  <w:num w:numId="15">
    <w:abstractNumId w:val="8"/>
  </w:num>
  <w:num w:numId="16">
    <w:abstractNumId w:val="20"/>
  </w:num>
  <w:num w:numId="17">
    <w:abstractNumId w:val="23"/>
  </w:num>
  <w:num w:numId="18">
    <w:abstractNumId w:val="18"/>
  </w:num>
  <w:num w:numId="19">
    <w:abstractNumId w:val="31"/>
  </w:num>
  <w:num w:numId="20">
    <w:abstractNumId w:val="16"/>
  </w:num>
  <w:num w:numId="21">
    <w:abstractNumId w:val="2"/>
  </w:num>
  <w:num w:numId="22">
    <w:abstractNumId w:val="11"/>
  </w:num>
  <w:num w:numId="23">
    <w:abstractNumId w:val="32"/>
  </w:num>
  <w:num w:numId="24">
    <w:abstractNumId w:val="22"/>
  </w:num>
  <w:num w:numId="25">
    <w:abstractNumId w:val="7"/>
  </w:num>
  <w:num w:numId="26">
    <w:abstractNumId w:val="28"/>
  </w:num>
  <w:num w:numId="27">
    <w:abstractNumId w:val="30"/>
  </w:num>
  <w:num w:numId="28">
    <w:abstractNumId w:val="3"/>
  </w:num>
  <w:num w:numId="29">
    <w:abstractNumId w:val="5"/>
  </w:num>
  <w:num w:numId="30">
    <w:abstractNumId w:val="15"/>
  </w:num>
  <w:num w:numId="31">
    <w:abstractNumId w:val="26"/>
  </w:num>
  <w:num w:numId="32">
    <w:abstractNumId w:val="2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yMWI1N2U4MTJlZjU3ZThjNzZkMTAwNjBmZWQ4YzQifQ=="/>
  </w:docVars>
  <w:rsids>
    <w:rsidRoot w:val="00330B82"/>
    <w:rsid w:val="0000040A"/>
    <w:rsid w:val="00000A94"/>
    <w:rsid w:val="00001639"/>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27"/>
    <w:rsid w:val="00044286"/>
    <w:rsid w:val="00046A40"/>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D9C"/>
    <w:rsid w:val="0006357D"/>
    <w:rsid w:val="00067F1E"/>
    <w:rsid w:val="000709A4"/>
    <w:rsid w:val="00071CC0"/>
    <w:rsid w:val="00073C8C"/>
    <w:rsid w:val="0007577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19C"/>
    <w:rsid w:val="000A19FC"/>
    <w:rsid w:val="000A296B"/>
    <w:rsid w:val="000A7311"/>
    <w:rsid w:val="000B060F"/>
    <w:rsid w:val="000B1592"/>
    <w:rsid w:val="000B1FF2"/>
    <w:rsid w:val="000B3CDA"/>
    <w:rsid w:val="000B69B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C8E"/>
    <w:rsid w:val="000F06E1"/>
    <w:rsid w:val="000F0E3C"/>
    <w:rsid w:val="000F19D5"/>
    <w:rsid w:val="000F4AEA"/>
    <w:rsid w:val="000F633F"/>
    <w:rsid w:val="000F67E9"/>
    <w:rsid w:val="000F6D7A"/>
    <w:rsid w:val="00104926"/>
    <w:rsid w:val="00104946"/>
    <w:rsid w:val="001121A7"/>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352"/>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5F73"/>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B60"/>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1FA7"/>
    <w:rsid w:val="002C3F07"/>
    <w:rsid w:val="002C5278"/>
    <w:rsid w:val="002C7EBB"/>
    <w:rsid w:val="002D06C1"/>
    <w:rsid w:val="002D42B5"/>
    <w:rsid w:val="002D4F1A"/>
    <w:rsid w:val="002D6EC6"/>
    <w:rsid w:val="002D79AC"/>
    <w:rsid w:val="002E039D"/>
    <w:rsid w:val="002E160B"/>
    <w:rsid w:val="002E4D5A"/>
    <w:rsid w:val="002E6326"/>
    <w:rsid w:val="002E6925"/>
    <w:rsid w:val="002F30E0"/>
    <w:rsid w:val="002F35E4"/>
    <w:rsid w:val="002F3730"/>
    <w:rsid w:val="002F38E1"/>
    <w:rsid w:val="002F7AF6"/>
    <w:rsid w:val="00300E63"/>
    <w:rsid w:val="00302F5F"/>
    <w:rsid w:val="0030441D"/>
    <w:rsid w:val="00306063"/>
    <w:rsid w:val="00313B85"/>
    <w:rsid w:val="00317988"/>
    <w:rsid w:val="00320820"/>
    <w:rsid w:val="003221B4"/>
    <w:rsid w:val="0032258D"/>
    <w:rsid w:val="00322E62"/>
    <w:rsid w:val="00324D13"/>
    <w:rsid w:val="00324D2A"/>
    <w:rsid w:val="00324EDD"/>
    <w:rsid w:val="00330B8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66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93F"/>
    <w:rsid w:val="003D0519"/>
    <w:rsid w:val="003D0FF6"/>
    <w:rsid w:val="003D262C"/>
    <w:rsid w:val="003D50A8"/>
    <w:rsid w:val="003D6D61"/>
    <w:rsid w:val="003D79C6"/>
    <w:rsid w:val="003E091D"/>
    <w:rsid w:val="003E1C53"/>
    <w:rsid w:val="003E2A69"/>
    <w:rsid w:val="003E2D49"/>
    <w:rsid w:val="003E2FD4"/>
    <w:rsid w:val="003E49F6"/>
    <w:rsid w:val="003E4FDF"/>
    <w:rsid w:val="003E660F"/>
    <w:rsid w:val="003F0841"/>
    <w:rsid w:val="003F23D3"/>
    <w:rsid w:val="003F3F08"/>
    <w:rsid w:val="003F49F1"/>
    <w:rsid w:val="003F6272"/>
    <w:rsid w:val="00400E72"/>
    <w:rsid w:val="00401400"/>
    <w:rsid w:val="00404869"/>
    <w:rsid w:val="00405884"/>
    <w:rsid w:val="00407D39"/>
    <w:rsid w:val="00413F7C"/>
    <w:rsid w:val="0041477A"/>
    <w:rsid w:val="004167A3"/>
    <w:rsid w:val="0042507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5AA"/>
    <w:rsid w:val="00481C44"/>
    <w:rsid w:val="00484936"/>
    <w:rsid w:val="00485C89"/>
    <w:rsid w:val="00486BE3"/>
    <w:rsid w:val="004905E4"/>
    <w:rsid w:val="00490A89"/>
    <w:rsid w:val="00490AB4"/>
    <w:rsid w:val="00492F02"/>
    <w:rsid w:val="004939AE"/>
    <w:rsid w:val="004A12DF"/>
    <w:rsid w:val="004A17E6"/>
    <w:rsid w:val="004A1BA8"/>
    <w:rsid w:val="004A3471"/>
    <w:rsid w:val="004A4B57"/>
    <w:rsid w:val="004A63FA"/>
    <w:rsid w:val="004B0272"/>
    <w:rsid w:val="004B07BD"/>
    <w:rsid w:val="004B2701"/>
    <w:rsid w:val="004B2E1B"/>
    <w:rsid w:val="004B3AA8"/>
    <w:rsid w:val="004B3E93"/>
    <w:rsid w:val="004C1FBC"/>
    <w:rsid w:val="004C36C3"/>
    <w:rsid w:val="004C3F1D"/>
    <w:rsid w:val="004C458D"/>
    <w:rsid w:val="004C7556"/>
    <w:rsid w:val="004C7E8B"/>
    <w:rsid w:val="004C7E9D"/>
    <w:rsid w:val="004C7F67"/>
    <w:rsid w:val="004D076D"/>
    <w:rsid w:val="004D0EE4"/>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A6"/>
    <w:rsid w:val="005073F0"/>
    <w:rsid w:val="00510A7B"/>
    <w:rsid w:val="00512F6E"/>
    <w:rsid w:val="00513038"/>
    <w:rsid w:val="00513B7A"/>
    <w:rsid w:val="00514174"/>
    <w:rsid w:val="00516088"/>
    <w:rsid w:val="00516B0B"/>
    <w:rsid w:val="005220EC"/>
    <w:rsid w:val="00523F95"/>
    <w:rsid w:val="00524D65"/>
    <w:rsid w:val="00525B16"/>
    <w:rsid w:val="0053377C"/>
    <w:rsid w:val="00533D04"/>
    <w:rsid w:val="00534804"/>
    <w:rsid w:val="00534BDF"/>
    <w:rsid w:val="005354EA"/>
    <w:rsid w:val="0053585F"/>
    <w:rsid w:val="0053592E"/>
    <w:rsid w:val="00535EC4"/>
    <w:rsid w:val="00535ED9"/>
    <w:rsid w:val="0053692B"/>
    <w:rsid w:val="00537D03"/>
    <w:rsid w:val="00541853"/>
    <w:rsid w:val="00543BDA"/>
    <w:rsid w:val="005441CC"/>
    <w:rsid w:val="005479DA"/>
    <w:rsid w:val="00547BCC"/>
    <w:rsid w:val="0055013B"/>
    <w:rsid w:val="00551F6F"/>
    <w:rsid w:val="00555044"/>
    <w:rsid w:val="00561475"/>
    <w:rsid w:val="0056487B"/>
    <w:rsid w:val="00564FB9"/>
    <w:rsid w:val="0057312F"/>
    <w:rsid w:val="00573D9E"/>
    <w:rsid w:val="00575580"/>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621"/>
    <w:rsid w:val="005C29B8"/>
    <w:rsid w:val="005C5F21"/>
    <w:rsid w:val="005C7156"/>
    <w:rsid w:val="005D0C75"/>
    <w:rsid w:val="005D4171"/>
    <w:rsid w:val="005D6A95"/>
    <w:rsid w:val="005D6B2C"/>
    <w:rsid w:val="005D6D9C"/>
    <w:rsid w:val="005D6EB0"/>
    <w:rsid w:val="005E2335"/>
    <w:rsid w:val="005E34CA"/>
    <w:rsid w:val="005E3C18"/>
    <w:rsid w:val="005E6812"/>
    <w:rsid w:val="005E7881"/>
    <w:rsid w:val="005E78E0"/>
    <w:rsid w:val="005F0D9C"/>
    <w:rsid w:val="005F284E"/>
    <w:rsid w:val="005F4712"/>
    <w:rsid w:val="006015CE"/>
    <w:rsid w:val="00604784"/>
    <w:rsid w:val="006060D5"/>
    <w:rsid w:val="00606419"/>
    <w:rsid w:val="00607D29"/>
    <w:rsid w:val="0061292E"/>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B37"/>
    <w:rsid w:val="00645904"/>
    <w:rsid w:val="00651ACB"/>
    <w:rsid w:val="00651C47"/>
    <w:rsid w:val="00652AB2"/>
    <w:rsid w:val="00652C79"/>
    <w:rsid w:val="006539FB"/>
    <w:rsid w:val="00653FED"/>
    <w:rsid w:val="00654EC0"/>
    <w:rsid w:val="0065525B"/>
    <w:rsid w:val="00655D4F"/>
    <w:rsid w:val="00656D29"/>
    <w:rsid w:val="006640E5"/>
    <w:rsid w:val="006646F1"/>
    <w:rsid w:val="00664929"/>
    <w:rsid w:val="00664F62"/>
    <w:rsid w:val="006655E1"/>
    <w:rsid w:val="00672060"/>
    <w:rsid w:val="00672BFD"/>
    <w:rsid w:val="00673204"/>
    <w:rsid w:val="006770F4"/>
    <w:rsid w:val="006772B8"/>
    <w:rsid w:val="00677A84"/>
    <w:rsid w:val="0068026D"/>
    <w:rsid w:val="00680A27"/>
    <w:rsid w:val="006816A4"/>
    <w:rsid w:val="006819B8"/>
    <w:rsid w:val="006840A6"/>
    <w:rsid w:val="006850CD"/>
    <w:rsid w:val="00685AAB"/>
    <w:rsid w:val="00686C0B"/>
    <w:rsid w:val="00695D22"/>
    <w:rsid w:val="006A07AA"/>
    <w:rsid w:val="006A25E5"/>
    <w:rsid w:val="006A2B46"/>
    <w:rsid w:val="006A336D"/>
    <w:rsid w:val="006A37B9"/>
    <w:rsid w:val="006B2672"/>
    <w:rsid w:val="006B54BF"/>
    <w:rsid w:val="006B5F44"/>
    <w:rsid w:val="006B5F90"/>
    <w:rsid w:val="006B62E4"/>
    <w:rsid w:val="006C06CC"/>
    <w:rsid w:val="006C1BBA"/>
    <w:rsid w:val="006C2079"/>
    <w:rsid w:val="006C5A62"/>
    <w:rsid w:val="006C5D68"/>
    <w:rsid w:val="006C6976"/>
    <w:rsid w:val="006C6DD0"/>
    <w:rsid w:val="006D04EA"/>
    <w:rsid w:val="006D0AB7"/>
    <w:rsid w:val="006D16C4"/>
    <w:rsid w:val="006D3E96"/>
    <w:rsid w:val="006D4515"/>
    <w:rsid w:val="006D4BB1"/>
    <w:rsid w:val="006D5B30"/>
    <w:rsid w:val="006D6593"/>
    <w:rsid w:val="006E23EA"/>
    <w:rsid w:val="006F03A8"/>
    <w:rsid w:val="006F2ACA"/>
    <w:rsid w:val="006F2ADC"/>
    <w:rsid w:val="006F2BFE"/>
    <w:rsid w:val="006F31E9"/>
    <w:rsid w:val="006F3517"/>
    <w:rsid w:val="006F368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E3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E8D"/>
    <w:rsid w:val="007B5A3D"/>
    <w:rsid w:val="007B5B95"/>
    <w:rsid w:val="007B68EA"/>
    <w:rsid w:val="007B7453"/>
    <w:rsid w:val="007C1E8B"/>
    <w:rsid w:val="007C2D89"/>
    <w:rsid w:val="007C4593"/>
    <w:rsid w:val="007C5309"/>
    <w:rsid w:val="007C6069"/>
    <w:rsid w:val="007D06C4"/>
    <w:rsid w:val="007D1352"/>
    <w:rsid w:val="007D2508"/>
    <w:rsid w:val="007D346A"/>
    <w:rsid w:val="007D3B11"/>
    <w:rsid w:val="007D545F"/>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0F4"/>
    <w:rsid w:val="00863502"/>
    <w:rsid w:val="00863E05"/>
    <w:rsid w:val="00865ACA"/>
    <w:rsid w:val="00865D28"/>
    <w:rsid w:val="00865F85"/>
    <w:rsid w:val="00867C10"/>
    <w:rsid w:val="00870439"/>
    <w:rsid w:val="00870DA1"/>
    <w:rsid w:val="00880B1B"/>
    <w:rsid w:val="0088370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5E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649"/>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799"/>
    <w:rsid w:val="009838C6"/>
    <w:rsid w:val="009911AF"/>
    <w:rsid w:val="00991875"/>
    <w:rsid w:val="00991F92"/>
    <w:rsid w:val="00992985"/>
    <w:rsid w:val="00993889"/>
    <w:rsid w:val="00993E4B"/>
    <w:rsid w:val="0099551B"/>
    <w:rsid w:val="00997BF1"/>
    <w:rsid w:val="009A089C"/>
    <w:rsid w:val="009A118E"/>
    <w:rsid w:val="009A17A7"/>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2FDA"/>
    <w:rsid w:val="00A138BA"/>
    <w:rsid w:val="00A14C8E"/>
    <w:rsid w:val="00A153D9"/>
    <w:rsid w:val="00A15F09"/>
    <w:rsid w:val="00A169B6"/>
    <w:rsid w:val="00A16C6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F7F"/>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BAA"/>
    <w:rsid w:val="00AE070A"/>
    <w:rsid w:val="00AE101C"/>
    <w:rsid w:val="00AE37E5"/>
    <w:rsid w:val="00AE5EB4"/>
    <w:rsid w:val="00AF0C18"/>
    <w:rsid w:val="00AF47C5"/>
    <w:rsid w:val="00AF5398"/>
    <w:rsid w:val="00B049AF"/>
    <w:rsid w:val="00B04A25"/>
    <w:rsid w:val="00B07242"/>
    <w:rsid w:val="00B10534"/>
    <w:rsid w:val="00B113DB"/>
    <w:rsid w:val="00B11D8A"/>
    <w:rsid w:val="00B12981"/>
    <w:rsid w:val="00B147DD"/>
    <w:rsid w:val="00B156FD"/>
    <w:rsid w:val="00B1748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0FEB"/>
    <w:rsid w:val="00B52120"/>
    <w:rsid w:val="00B54ABC"/>
    <w:rsid w:val="00B54DDE"/>
    <w:rsid w:val="00B56FBE"/>
    <w:rsid w:val="00B60ACF"/>
    <w:rsid w:val="00B62B58"/>
    <w:rsid w:val="00B65149"/>
    <w:rsid w:val="00B66567"/>
    <w:rsid w:val="00B66F52"/>
    <w:rsid w:val="00B66FE5"/>
    <w:rsid w:val="00B72880"/>
    <w:rsid w:val="00B7495F"/>
    <w:rsid w:val="00B758BF"/>
    <w:rsid w:val="00B77EC8"/>
    <w:rsid w:val="00B827A6"/>
    <w:rsid w:val="00B831CE"/>
    <w:rsid w:val="00B86677"/>
    <w:rsid w:val="00B87131"/>
    <w:rsid w:val="00B939B1"/>
    <w:rsid w:val="00B96D40"/>
    <w:rsid w:val="00B97386"/>
    <w:rsid w:val="00BA013A"/>
    <w:rsid w:val="00BA263B"/>
    <w:rsid w:val="00BA42B2"/>
    <w:rsid w:val="00BA58D4"/>
    <w:rsid w:val="00BA5B9E"/>
    <w:rsid w:val="00BA7C9A"/>
    <w:rsid w:val="00BB203B"/>
    <w:rsid w:val="00BB3FA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B4F"/>
    <w:rsid w:val="00BF51E5"/>
    <w:rsid w:val="00BF7189"/>
    <w:rsid w:val="00BF74A6"/>
    <w:rsid w:val="00C013AD"/>
    <w:rsid w:val="00C04904"/>
    <w:rsid w:val="00C056B3"/>
    <w:rsid w:val="00C103E5"/>
    <w:rsid w:val="00C13319"/>
    <w:rsid w:val="00C13EE9"/>
    <w:rsid w:val="00C21540"/>
    <w:rsid w:val="00C21906"/>
    <w:rsid w:val="00C21BFA"/>
    <w:rsid w:val="00C22148"/>
    <w:rsid w:val="00C23104"/>
    <w:rsid w:val="00C24C8D"/>
    <w:rsid w:val="00C25FE2"/>
    <w:rsid w:val="00C26B53"/>
    <w:rsid w:val="00C279B2"/>
    <w:rsid w:val="00C27CF4"/>
    <w:rsid w:val="00C33E50"/>
    <w:rsid w:val="00C34B18"/>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B11"/>
    <w:rsid w:val="00C86D6F"/>
    <w:rsid w:val="00C905FC"/>
    <w:rsid w:val="00C92D03"/>
    <w:rsid w:val="00C9319C"/>
    <w:rsid w:val="00C9435D"/>
    <w:rsid w:val="00C94DF2"/>
    <w:rsid w:val="00C96741"/>
    <w:rsid w:val="00CA2D1B"/>
    <w:rsid w:val="00CA375D"/>
    <w:rsid w:val="00CA506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40"/>
    <w:rsid w:val="00CD28BF"/>
    <w:rsid w:val="00CD4092"/>
    <w:rsid w:val="00CD4A20"/>
    <w:rsid w:val="00CD50A1"/>
    <w:rsid w:val="00CD519E"/>
    <w:rsid w:val="00CD54DC"/>
    <w:rsid w:val="00CD561D"/>
    <w:rsid w:val="00CE0C4F"/>
    <w:rsid w:val="00CE30EA"/>
    <w:rsid w:val="00CF048A"/>
    <w:rsid w:val="00CF155A"/>
    <w:rsid w:val="00CF2947"/>
    <w:rsid w:val="00CF686F"/>
    <w:rsid w:val="00CF6E60"/>
    <w:rsid w:val="00CF7BCA"/>
    <w:rsid w:val="00D008FD"/>
    <w:rsid w:val="00D0321C"/>
    <w:rsid w:val="00D035EC"/>
    <w:rsid w:val="00D06AB1"/>
    <w:rsid w:val="00D06DEA"/>
    <w:rsid w:val="00D072ED"/>
    <w:rsid w:val="00D07A16"/>
    <w:rsid w:val="00D1067E"/>
    <w:rsid w:val="00D10F50"/>
    <w:rsid w:val="00D11272"/>
    <w:rsid w:val="00D126F5"/>
    <w:rsid w:val="00D14141"/>
    <w:rsid w:val="00D14787"/>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5319"/>
    <w:rsid w:val="00D66846"/>
    <w:rsid w:val="00D675FB"/>
    <w:rsid w:val="00D71F25"/>
    <w:rsid w:val="00D72A9C"/>
    <w:rsid w:val="00D76F99"/>
    <w:rsid w:val="00D77031"/>
    <w:rsid w:val="00D84941"/>
    <w:rsid w:val="00D84FA1"/>
    <w:rsid w:val="00D851F0"/>
    <w:rsid w:val="00D86141"/>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7A8"/>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A2E"/>
    <w:rsid w:val="00E15CCD"/>
    <w:rsid w:val="00E202EF"/>
    <w:rsid w:val="00E210B5"/>
    <w:rsid w:val="00E23D99"/>
    <w:rsid w:val="00E2552F"/>
    <w:rsid w:val="00E3137A"/>
    <w:rsid w:val="00E32CCF"/>
    <w:rsid w:val="00E34A98"/>
    <w:rsid w:val="00E35D1E"/>
    <w:rsid w:val="00E364F9"/>
    <w:rsid w:val="00E365FA"/>
    <w:rsid w:val="00E36789"/>
    <w:rsid w:val="00E44A83"/>
    <w:rsid w:val="00E4577B"/>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1DA"/>
    <w:rsid w:val="00EE54A6"/>
    <w:rsid w:val="00EE613F"/>
    <w:rsid w:val="00EE7295"/>
    <w:rsid w:val="00EE7869"/>
    <w:rsid w:val="00EF054A"/>
    <w:rsid w:val="00EF3235"/>
    <w:rsid w:val="00EF4AF9"/>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6F3"/>
    <w:rsid w:val="00F56511"/>
    <w:rsid w:val="00F6194E"/>
    <w:rsid w:val="00F623AC"/>
    <w:rsid w:val="00F6412A"/>
    <w:rsid w:val="00F653C5"/>
    <w:rsid w:val="00F65893"/>
    <w:rsid w:val="00F65C81"/>
    <w:rsid w:val="00F66A4A"/>
    <w:rsid w:val="00F71E22"/>
    <w:rsid w:val="00F72142"/>
    <w:rsid w:val="00F724EF"/>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E2E"/>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8D2568"/>
    <w:rsid w:val="0A6B4754"/>
    <w:rsid w:val="0E107BBB"/>
    <w:rsid w:val="1138073E"/>
    <w:rsid w:val="167E55A7"/>
    <w:rsid w:val="223C1BC8"/>
    <w:rsid w:val="239C7846"/>
    <w:rsid w:val="23A277C8"/>
    <w:rsid w:val="27C8409B"/>
    <w:rsid w:val="29B10861"/>
    <w:rsid w:val="2A9A72BD"/>
    <w:rsid w:val="2A9F4C53"/>
    <w:rsid w:val="2E2F40B0"/>
    <w:rsid w:val="33714373"/>
    <w:rsid w:val="381E54F5"/>
    <w:rsid w:val="397D2CF3"/>
    <w:rsid w:val="434D7F99"/>
    <w:rsid w:val="48C4208D"/>
    <w:rsid w:val="4F8E395E"/>
    <w:rsid w:val="580F564D"/>
    <w:rsid w:val="5FCD5990"/>
    <w:rsid w:val="6A913CA5"/>
    <w:rsid w:val="6B416685"/>
    <w:rsid w:val="6D684628"/>
    <w:rsid w:val="7D524E6B"/>
    <w:rsid w:val="7E396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9"/>
    <w:autoRedefine/>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numPr>
        <w:ilvl w:val="4"/>
        <w:numId w:val="1"/>
      </w:numPr>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numPr>
        <w:ilvl w:val="5"/>
        <w:numId w:val="1"/>
      </w:numPr>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numPr>
        <w:ilvl w:val="6"/>
        <w:numId w:val="1"/>
      </w:numPr>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numPr>
        <w:ilvl w:val="7"/>
        <w:numId w:val="1"/>
      </w:numPr>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numPr>
        <w:ilvl w:val="8"/>
        <w:numId w:val="1"/>
      </w:numPr>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unhideWhenUsed/>
    <w:qFormat/>
    <w:uiPriority w:val="99"/>
    <w:pPr>
      <w:jc w:val="left"/>
    </w:p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b/>
      <w:bCs/>
      <w:kern w:val="44"/>
      <w:sz w:val="44"/>
      <w:szCs w:val="44"/>
    </w:rPr>
  </w:style>
  <w:style w:type="character" w:customStyle="1" w:styleId="37">
    <w:name w:val="标题 2 字符"/>
    <w:link w:val="3"/>
    <w:autoRedefine/>
    <w:qFormat/>
    <w:uiPriority w:val="0"/>
    <w:rPr>
      <w:rFonts w:ascii="Arial" w:hAnsi="Arial" w:eastAsia="黑体"/>
      <w:b/>
      <w:bCs/>
      <w:kern w:val="2"/>
      <w:sz w:val="32"/>
      <w:szCs w:val="32"/>
    </w:rPr>
  </w:style>
  <w:style w:type="character" w:customStyle="1" w:styleId="38">
    <w:name w:val="标题 3 字符"/>
    <w:link w:val="4"/>
    <w:autoRedefine/>
    <w:qFormat/>
    <w:uiPriority w:val="0"/>
    <w:rPr>
      <w:b/>
      <w:bCs/>
      <w:kern w:val="2"/>
      <w:sz w:val="32"/>
      <w:szCs w:val="32"/>
    </w:rPr>
  </w:style>
  <w:style w:type="character" w:customStyle="1" w:styleId="39">
    <w:name w:val="标题 4 字符"/>
    <w:link w:val="5"/>
    <w:autoRedefine/>
    <w:qFormat/>
    <w:uiPriority w:val="0"/>
    <w:rPr>
      <w:rFonts w:ascii="Arial" w:hAnsi="Arial" w:eastAsia="黑体"/>
      <w:b/>
      <w:bCs/>
      <w:kern w:val="2"/>
      <w:sz w:val="28"/>
      <w:szCs w:val="28"/>
    </w:rPr>
  </w:style>
  <w:style w:type="character" w:customStyle="1" w:styleId="40">
    <w:name w:val="标题 5 字符"/>
    <w:link w:val="6"/>
    <w:autoRedefine/>
    <w:qFormat/>
    <w:uiPriority w:val="0"/>
    <w:rPr>
      <w:b/>
      <w:bCs/>
      <w:kern w:val="2"/>
      <w:sz w:val="28"/>
      <w:szCs w:val="28"/>
    </w:rPr>
  </w:style>
  <w:style w:type="character" w:customStyle="1" w:styleId="41">
    <w:name w:val="标题 6 字符"/>
    <w:link w:val="7"/>
    <w:autoRedefine/>
    <w:qFormat/>
    <w:uiPriority w:val="0"/>
    <w:rPr>
      <w:rFonts w:ascii="Arial" w:hAnsi="Arial" w:eastAsia="黑体"/>
      <w:b/>
      <w:bCs/>
      <w:kern w:val="2"/>
      <w:sz w:val="24"/>
      <w:szCs w:val="24"/>
    </w:rPr>
  </w:style>
  <w:style w:type="character" w:customStyle="1" w:styleId="42">
    <w:name w:val="标题 7 字符"/>
    <w:link w:val="8"/>
    <w:autoRedefine/>
    <w:qFormat/>
    <w:uiPriority w:val="0"/>
    <w:rPr>
      <w:b/>
      <w:bCs/>
      <w:kern w:val="2"/>
      <w:sz w:val="24"/>
      <w:szCs w:val="24"/>
    </w:rPr>
  </w:style>
  <w:style w:type="character" w:customStyle="1" w:styleId="43">
    <w:name w:val="标题 8 字符"/>
    <w:link w:val="9"/>
    <w:autoRedefine/>
    <w:qFormat/>
    <w:uiPriority w:val="0"/>
    <w:rPr>
      <w:rFonts w:ascii="Arial" w:hAnsi="Arial" w:eastAsia="黑体"/>
      <w:kern w:val="2"/>
      <w:sz w:val="24"/>
      <w:szCs w:val="24"/>
    </w:rPr>
  </w:style>
  <w:style w:type="character" w:customStyle="1" w:styleId="44">
    <w:name w:val="标题 9 字符"/>
    <w:link w:val="10"/>
    <w:autoRedefine/>
    <w:qFormat/>
    <w:uiPriority w:val="0"/>
    <w:rPr>
      <w:rFonts w:ascii="Arial" w:hAnsi="Arial" w:eastAsia="黑体"/>
      <w:kern w:val="2"/>
      <w:sz w:val="21"/>
      <w:szCs w:val="21"/>
    </w:rPr>
  </w:style>
  <w:style w:type="character" w:customStyle="1" w:styleId="45">
    <w:name w:val="页眉 字符"/>
    <w:link w:val="19"/>
    <w:autoRedefine/>
    <w:qFormat/>
    <w:uiPriority w:val="99"/>
    <w:rPr>
      <w:kern w:val="2"/>
      <w:sz w:val="18"/>
      <w:szCs w:val="18"/>
    </w:rPr>
  </w:style>
  <w:style w:type="character" w:customStyle="1" w:styleId="46">
    <w:name w:val="页脚 字符"/>
    <w:link w:val="18"/>
    <w:autoRedefine/>
    <w:qFormat/>
    <w:uiPriority w:val="99"/>
    <w:rPr>
      <w:rFonts w:ascii="宋体"/>
      <w:kern w:val="2"/>
      <w:sz w:val="18"/>
      <w:szCs w:val="18"/>
    </w:rPr>
  </w:style>
  <w:style w:type="character" w:customStyle="1" w:styleId="47">
    <w:name w:val="批注框文本 字符"/>
    <w:link w:val="17"/>
    <w:autoRedefine/>
    <w:semiHidden/>
    <w:qFormat/>
    <w:uiPriority w:val="99"/>
    <w:rPr>
      <w:kern w:val="2"/>
      <w:sz w:val="18"/>
      <w:szCs w:val="18"/>
    </w:rPr>
  </w:style>
  <w:style w:type="paragraph" w:styleId="48">
    <w:name w:val="Quote"/>
    <w:basedOn w:val="1"/>
    <w:next w:val="1"/>
    <w:link w:val="49"/>
    <w:autoRedefine/>
    <w:qFormat/>
    <w:uiPriority w:val="29"/>
    <w:rPr>
      <w:i/>
      <w:iCs/>
      <w:color w:val="000000"/>
    </w:rPr>
  </w:style>
  <w:style w:type="character" w:customStyle="1" w:styleId="49">
    <w:name w:val="引用 字符"/>
    <w:link w:val="48"/>
    <w:autoRedefine/>
    <w:qFormat/>
    <w:uiPriority w:val="29"/>
    <w:rPr>
      <w:i/>
      <w:iCs/>
      <w:color w:val="000000"/>
      <w:kern w:val="2"/>
      <w:sz w:val="21"/>
      <w:szCs w:val="21"/>
    </w:rPr>
  </w:style>
  <w:style w:type="character" w:customStyle="1" w:styleId="50">
    <w:name w:val="标题 字符"/>
    <w:link w:val="26"/>
    <w:autoRedefine/>
    <w:qFormat/>
    <w:uiPriority w:val="0"/>
    <w:rPr>
      <w:rFonts w:ascii="Arial" w:hAnsi="Arial" w:cs="Arial"/>
      <w:b/>
      <w:bCs/>
      <w:kern w:val="2"/>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2"/>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4"/>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7"/>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autoRedefine/>
    <w:qFormat/>
    <w:uiPriority w:val="0"/>
    <w:rPr>
      <w:kern w:val="2"/>
      <w:sz w:val="21"/>
      <w:szCs w:val="21"/>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9"/>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10"/>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1"/>
      </w:numPr>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2"/>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3"/>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50" w:beforeLines="50" w:after="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8"/>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4"/>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1"/>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2"/>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3"/>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1"/>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1"/>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1"/>
      </w:numPr>
      <w:adjustRightInd/>
    </w:pPr>
    <w:rPr>
      <w:szCs w:val="24"/>
    </w:rPr>
  </w:style>
  <w:style w:type="paragraph" w:customStyle="1" w:styleId="161">
    <w:name w:val="一级无标题条"/>
    <w:basedOn w:val="1"/>
    <w:autoRedefine/>
    <w:qFormat/>
    <w:uiPriority w:val="0"/>
    <w:pPr>
      <w:numPr>
        <w:ilvl w:val="2"/>
        <w:numId w:val="21"/>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0" w:beforeLines="0" w:after="0" w:afterLines="0"/>
      <w:outlineLvl w:val="9"/>
    </w:pPr>
    <w:rPr>
      <w:rFonts w:ascii="宋体" w:eastAsia="宋体"/>
    </w:rPr>
  </w:style>
  <w:style w:type="paragraph" w:customStyle="1" w:styleId="165">
    <w:name w:val="标准文件_五级无标题"/>
    <w:basedOn w:val="105"/>
    <w:autoRedefine/>
    <w:qFormat/>
    <w:uiPriority w:val="0"/>
    <w:pPr>
      <w:spacing w:before="0" w:beforeLines="0" w:after="0" w:afterLines="0"/>
      <w:outlineLvl w:val="9"/>
    </w:pPr>
    <w:rPr>
      <w:rFonts w:ascii="宋体" w:eastAsia="宋体"/>
    </w:rPr>
  </w:style>
  <w:style w:type="paragraph" w:customStyle="1" w:styleId="166">
    <w:name w:val="标准文件_三级无标题"/>
    <w:basedOn w:val="96"/>
    <w:autoRedefine/>
    <w:qFormat/>
    <w:uiPriority w:val="0"/>
    <w:pPr>
      <w:spacing w:before="0" w:beforeLines="0" w:after="0" w:afterLines="0"/>
      <w:outlineLvl w:val="9"/>
    </w:pPr>
    <w:rPr>
      <w:rFonts w:ascii="宋体" w:eastAsia="宋体"/>
    </w:rPr>
  </w:style>
  <w:style w:type="paragraph" w:customStyle="1" w:styleId="167">
    <w:name w:val="标准文件_二级无标题"/>
    <w:basedOn w:val="67"/>
    <w:autoRedefine/>
    <w:qFormat/>
    <w:uiPriority w:val="0"/>
    <w:pPr>
      <w:spacing w:before="0" w:beforeLines="0" w:after="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4"/>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5"/>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2"/>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6"/>
      </w:numPr>
      <w:adjustRightInd/>
      <w:spacing w:line="240" w:lineRule="auto"/>
    </w:pPr>
    <w:rPr>
      <w:rFonts w:ascii="宋体" w:hAnsi="Times New Roman"/>
      <w:sz w:val="18"/>
      <w:szCs w:val="18"/>
    </w:rPr>
  </w:style>
  <w:style w:type="paragraph" w:customStyle="1" w:styleId="176">
    <w:name w:val="标准文件_字母编号列项（一级）"/>
    <w:autoRedefine/>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8"/>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9"/>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autoRedefine/>
    <w:qFormat/>
    <w:uiPriority w:val="0"/>
    <w:pPr>
      <w:widowControl/>
      <w:numPr>
        <w:ilvl w:val="0"/>
        <w:numId w:val="30"/>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29"/>
    <w:autoRedefine/>
    <w:semiHidden/>
    <w:qFormat/>
    <w:uiPriority w:val="99"/>
    <w:rPr>
      <w:color w:val="808080"/>
    </w:rPr>
  </w:style>
  <w:style w:type="paragraph" w:customStyle="1" w:styleId="189">
    <w:name w:val="标准文件_二级项2"/>
    <w:basedOn w:val="58"/>
    <w:autoRedefine/>
    <w:qFormat/>
    <w:uiPriority w:val="0"/>
    <w:pPr>
      <w:numPr>
        <w:ilvl w:val="1"/>
        <w:numId w:val="22"/>
      </w:numPr>
      <w:ind w:firstLine="0" w:firstLineChars="0"/>
    </w:pPr>
  </w:style>
  <w:style w:type="paragraph" w:customStyle="1" w:styleId="190">
    <w:name w:val="标准文件_三级项2"/>
    <w:basedOn w:val="58"/>
    <w:autoRedefine/>
    <w:qFormat/>
    <w:uiPriority w:val="0"/>
    <w:pPr>
      <w:numPr>
        <w:ilvl w:val="0"/>
        <w:numId w:val="31"/>
      </w:numPr>
      <w:spacing w:line="300" w:lineRule="exact"/>
      <w:ind w:firstLineChars="0"/>
    </w:pPr>
    <w:rPr>
      <w:rFonts w:ascii="Times New Roman"/>
    </w:rPr>
  </w:style>
  <w:style w:type="paragraph" w:customStyle="1" w:styleId="191">
    <w:name w:val="标准文件_一级项2"/>
    <w:basedOn w:val="58"/>
    <w:autoRedefine/>
    <w:qFormat/>
    <w:uiPriority w:val="0"/>
    <w:pPr>
      <w:numPr>
        <w:ilvl w:val="0"/>
        <w:numId w:val="32"/>
      </w:numPr>
      <w:spacing w:line="300" w:lineRule="exact"/>
      <w:ind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29"/>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frame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6"/>
      </w:numPr>
      <w:spacing w:line="14" w:lineRule="exact"/>
      <w:ind w:firstLine="0" w:firstLineChars="0"/>
      <w:jc w:val="center"/>
    </w:pPr>
    <w:rPr>
      <w:rFonts w:eastAsia="黑体"/>
      <w:vanish/>
      <w:sz w:val="2"/>
    </w:rPr>
  </w:style>
  <w:style w:type="paragraph" w:customStyle="1" w:styleId="202">
    <w:name w:val="标准文件_引言一级条标题"/>
    <w:basedOn w:val="58"/>
    <w:next w:val="58"/>
    <w:autoRedefine/>
    <w:qFormat/>
    <w:uiPriority w:val="0"/>
    <w:pPr>
      <w:numPr>
        <w:ilvl w:val="1"/>
        <w:numId w:val="9"/>
      </w:numPr>
      <w:spacing w:before="50" w:beforeLines="50" w:after="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9"/>
      </w:numPr>
      <w:spacing w:before="50" w:beforeLines="50" w:after="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9"/>
      </w:numPr>
      <w:spacing w:before="50" w:beforeLines="50" w:after="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9"/>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9"/>
      </w:numPr>
      <w:spacing w:before="50" w:beforeLines="50" w:after="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三级无标题"/>
    <w:basedOn w:val="204"/>
    <w:autoRedefine/>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autoRedefine/>
    <w:qFormat/>
    <w:uiPriority w:val="0"/>
    <w:rPr>
      <w:rFonts w:ascii="黑体" w:eastAsia="黑体"/>
      <w:spacing w:val="85"/>
      <w:w w:val="100"/>
      <w:position w:val="3"/>
      <w:sz w:val="28"/>
      <w:szCs w:val="28"/>
    </w:rPr>
  </w:style>
  <w:style w:type="table" w:customStyle="1" w:styleId="232">
    <w:name w:val="网格型1"/>
    <w:basedOn w:val="27"/>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网格型2"/>
    <w:basedOn w:val="27"/>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网格型11"/>
    <w:basedOn w:val="27"/>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网格型21"/>
    <w:basedOn w:val="27"/>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7">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8">
    <w:name w:val="paragraph"/>
    <w:basedOn w:val="1"/>
    <w:qFormat/>
    <w:uiPriority w:val="0"/>
    <w:pPr>
      <w:adjustRightInd/>
      <w:spacing w:before="100" w:beforeAutospacing="1" w:after="100" w:afterAutospacing="1"/>
    </w:pPr>
    <w:rPr>
      <w:rFonts w:ascii="宋体" w:hAnsi="宋体" w:cs="宋体"/>
      <w:sz w:val="24"/>
      <w:szCs w:val="24"/>
    </w:rPr>
  </w:style>
  <w:style w:type="paragraph" w:styleId="239">
    <w:name w:val="List Paragraph"/>
    <w:basedOn w:val="1"/>
    <w:qFormat/>
    <w:uiPriority w:val="34"/>
    <w:pPr>
      <w:adjustRightInd/>
      <w:ind w:firstLine="420" w:firstLineChars="200"/>
    </w:pPr>
    <w:rPr>
      <w:rFonts w:asciiTheme="minorHAnsi" w:hAnsiTheme="minorHAnsi" w:eastAsiaTheme="minorEastAsia" w:cstheme="minorBidi"/>
      <w:szCs w:val="22"/>
    </w:rPr>
  </w:style>
  <w:style w:type="character" w:customStyle="1" w:styleId="240">
    <w:name w:val="font11"/>
    <w:basedOn w:val="29"/>
    <w:qFormat/>
    <w:uiPriority w:val="0"/>
    <w:rPr>
      <w:rFonts w:hint="eastAsia" w:ascii="宋体" w:hAnsi="宋体" w:eastAsia="宋体" w:cs="宋体"/>
      <w:color w:val="000000"/>
      <w:sz w:val="21"/>
      <w:szCs w:val="21"/>
      <w:u w:val="none"/>
    </w:rPr>
  </w:style>
  <w:style w:type="character" w:customStyle="1" w:styleId="241">
    <w:name w:val="font31"/>
    <w:basedOn w:val="29"/>
    <w:qFormat/>
    <w:uiPriority w:val="0"/>
    <w:rPr>
      <w:rFonts w:hint="default" w:ascii="Times New Roman" w:hAnsi="Times New Roman" w:cs="Times New Roman"/>
      <w:color w:val="000000"/>
      <w:sz w:val="21"/>
      <w:szCs w:val="21"/>
      <w:u w:val="none"/>
    </w:rPr>
  </w:style>
  <w:style w:type="character" w:customStyle="1" w:styleId="242">
    <w:name w:val="font21"/>
    <w:basedOn w:val="29"/>
    <w:qFormat/>
    <w:uiPriority w:val="0"/>
    <w:rPr>
      <w:rFonts w:hint="default" w:ascii="等线" w:hAnsi="等线" w:eastAsia="等线" w:cs="等线"/>
      <w:color w:val="000000"/>
      <w:sz w:val="21"/>
      <w:szCs w:val="21"/>
      <w:u w:val="none"/>
    </w:rPr>
  </w:style>
  <w:style w:type="character" w:customStyle="1" w:styleId="243">
    <w:name w:val="font41"/>
    <w:basedOn w:val="29"/>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e93fe3d-2301-4c11-b252-815752fe27c0}"/>
        <w:style w:val=""/>
        <w:category>
          <w:name w:val="常规"/>
          <w:gallery w:val="placeholder"/>
        </w:category>
        <w:types>
          <w:type w:val="bbPlcHdr"/>
        </w:types>
        <w:behaviors>
          <w:behavior w:val="content"/>
        </w:behaviors>
        <w:description w:val=""/>
        <w:guid w:val="{3E93FE3D-2301-4C11-B252-815752FE27C0}"/>
      </w:docPartPr>
      <w:docPartBody>
        <w:p w14:paraId="18709FA4">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596"/>
    <w:rsid w:val="00104946"/>
    <w:rsid w:val="00262B60"/>
    <w:rsid w:val="00287D69"/>
    <w:rsid w:val="002E160B"/>
    <w:rsid w:val="002E4E00"/>
    <w:rsid w:val="00421022"/>
    <w:rsid w:val="005177E3"/>
    <w:rsid w:val="006060D5"/>
    <w:rsid w:val="006B41E9"/>
    <w:rsid w:val="006F5B20"/>
    <w:rsid w:val="00782201"/>
    <w:rsid w:val="007E14C2"/>
    <w:rsid w:val="008054AA"/>
    <w:rsid w:val="00841189"/>
    <w:rsid w:val="0084581C"/>
    <w:rsid w:val="008D4DE1"/>
    <w:rsid w:val="00A11596"/>
    <w:rsid w:val="00A74F7F"/>
    <w:rsid w:val="00AB3886"/>
    <w:rsid w:val="00B87DAF"/>
    <w:rsid w:val="00C34492"/>
    <w:rsid w:val="00CA3E29"/>
    <w:rsid w:val="00D132C7"/>
    <w:rsid w:val="00DC4C01"/>
    <w:rsid w:val="00DE5619"/>
    <w:rsid w:val="00E51143"/>
    <w:rsid w:val="00F47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A2DBFB13F5264B9B9226D8375D0DA5A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1556C-9BD9-43A3-92CC-B7706F02C63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2468</Words>
  <Characters>3088</Characters>
  <Lines>26</Lines>
  <Paragraphs>7</Paragraphs>
  <TotalTime>64</TotalTime>
  <ScaleCrop>false</ScaleCrop>
  <LinksUpToDate>false</LinksUpToDate>
  <CharactersWithSpaces>3172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2024-10-09T03:35:00Z</dcterms:created>
  <dc:creator>damn</dc:creator>
  <dc:description>&lt;config cover="true" show_menu="true" version="1.0.0" doctype="SDKXY"&gt;_x000d_
&lt;/config&gt;</dc:description>
  <cp:lastModifiedBy>晴空漫步</cp:lastModifiedBy>
  <cp:lastPrinted>2023-08-08T03:14:00Z</cp:lastPrinted>
  <dcterms:modified xsi:type="dcterms:W3CDTF">2024-10-23T03:49:09Z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131F3BD3699C495A829C9EE45449FB28_13</vt:lpwstr>
  </property>
</Properties>
</file>